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Times New Roman" w:hAnsi="Times New Roman"/>
          <w:b/>
          <w:sz w:val="32"/>
        </w:rPr>
        <w:t>QuantSim: A Multi-Factor Quantitative Investing Simulator</w:t>
        <w:br/>
        <w:t>with Machine Learning and NLP-Based Sentiment Integration</w:t>
      </w:r>
    </w:p>
    <w:p>
      <w:pPr>
        <w:spacing w:after="80"/>
        <w:jc w:val="center"/>
      </w:pPr>
      <w:r>
        <w:rPr>
          <w:sz w:val="22"/>
        </w:rPr>
        <w:t>Advaith [Last Name]</w:t>
      </w:r>
    </w:p>
    <w:p>
      <w:pPr>
        <w:spacing w:after="400"/>
        <w:jc w:val="center"/>
      </w:pPr>
      <w:r>
        <w:rPr>
          <w:i/>
          <w:sz w:val="20"/>
        </w:rPr>
        <w:t>[Department], [University Name], [City], [Country]</w:t>
        <w:br/>
        <w:t>email@university.edu</w:t>
      </w:r>
    </w:p>
    <w:p>
      <w:pPr>
        <w:pStyle w:val="Heading1"/>
      </w:pPr>
      <w:r>
        <w:t>Abstract</w:t>
      </w:r>
    </w:p>
    <w:p>
      <w:pPr>
        <w:ind w:firstLine="0"/>
      </w:pPr>
      <w:r>
        <w:t>Quantitative factor investing has gained significant traction among institutional and retail investors for its systematic, data-driven approach to portfolio construction. This paper presents QuantSim, an end-to-end quantitative factor investing simulator that integrates multi-factor scoring models, gradient-boosted machine learning pipelines (XGBoost/LightGBM), transformer-based natural language processing for financial sentiment analysis (FinBERT), model explainability via SHAP, and a production-grade backtesting engine with realistic market friction modeling. The system processes S&amp;P 500 constituent data across five fundamental factors — Value, Momentum, Quality, Volatility, and Volume — and constructs optimized portfolios using both rule-based composite scoring and ML-predicted return ranking. Backtesting results demonstrate that the ML-based risk-adjusted portfolio achieves a cumulative return of 145.57% with a Sharpe ratio of 1.385, significantly outperforming the S&amp;P 500 benchmark (71.3% cumulative return, 0.86 Sharpe ratio) over the evaluation period. Even after accounting for transaction costs, slippage, and portfolio turnover (~7% annually), the ML-based portfolio yields estimated net annualized returns of ~21.9%. The system architecture features a Streamlit-based interactive dashboard, PostgreSQL database backend with query optimization, and modular pipeline design enabling reproducible research. We discuss the implications of integrating alternative data signals, the role of model explainability in investment decision-making, and directions for future enhancement including reinforcement learning-based portfolio optimization.</w:t>
      </w:r>
    </w:p>
    <w:p>
      <w:pPr>
        <w:spacing w:after="320"/>
      </w:pPr>
      <w:r>
        <w:rPr>
          <w:b/>
          <w:sz w:val="20"/>
        </w:rPr>
        <w:t xml:space="preserve">Keywords: </w:t>
      </w:r>
      <w:r>
        <w:rPr>
          <w:i/>
          <w:sz w:val="20"/>
        </w:rPr>
        <w:t>Quantitative Finance · Factor Investing · Machine Learning · Natural Language Processing · Sentiment Analysis · Portfolio Optimization · XGBoost · FinBERT · SHAP · Backtesting</w:t>
      </w:r>
    </w:p>
    <w:p>
      <w:pPr>
        <w:pStyle w:val="Heading1"/>
      </w:pPr>
      <w:r>
        <w:t>1. Introduction</w:t>
      </w:r>
    </w:p>
    <w:p>
      <w:pPr>
        <w:pStyle w:val="Heading2"/>
      </w:pPr>
      <w:r>
        <w:t>1.1 Motivation and Background</w:t>
      </w:r>
    </w:p>
    <w:p>
      <w:r>
        <w:t>The efficient market hypothesis (EMH), proposed by Fama [1], posits that asset prices fully reflect all available information. However, decades of empirical research have identified persistent anomalies — commonly referred to as factors — that generate excess returns beyond what traditional asset pricing models predict [2]. Factor investing, which systematically exploits these anomalies, has grown into a multi-trillion dollar industry, with academic foundations in the capital asset pricing model (CAPM) [3], the Fama-French three-factor model [4], and subsequent extensions incorporating momentum [5], quality [6], and low-volatility [7] factors.</w:t>
      </w:r>
    </w:p>
    <w:p>
      <w:r>
        <w:t>Simultaneously, advances in machine learning (ML) and natural language processing (NLP) have transformed quantitative finance. Gradient boosting methods such as XGBoost [8] and LightGBM [9] have demonstrated superior predictive performance for cross-sectional return forecasting compared to traditional linear models [10]. In the NLP domain, pre-trained transformer models fine-tuned on financial text — notably FinBERT [11] — enable automated extraction of market sentiment from unstructured news data at scale [12].</w:t>
      </w:r>
    </w:p>
    <w:p>
      <w:r>
        <w:t>Despite these advances, most existing tools either focus narrowly on a single aspect (e.g., factor scoring or backtesting) or remain inaccessible as proprietary institutional platforms. There remains a significant gap in the availability of integrated, open-source research platforms that combine multi-factor modeling, ML-based prediction, NLP sentiment analysis, model explainability, and realistic backtesting within a unified, reproducible framework.</w:t>
      </w:r>
    </w:p>
    <w:p>
      <w:pPr>
        <w:pStyle w:val="Heading2"/>
      </w:pPr>
      <w:r>
        <w:t>1.2 Contributions</w:t>
      </w:r>
    </w:p>
    <w:p>
      <w:r>
        <w:t>This paper makes the following contributions:</w:t>
      </w:r>
    </w:p>
    <w:p>
      <w:pPr>
        <w:ind w:left="567"/>
      </w:pPr>
      <w:r>
        <w:t>1. QuantSim Framework: An end-to-end, modular quantitative investing simulator that integrates five financial factors, gradient-boosted ML models, FinBERT-based sentiment analysis, SHAP explainability, and production-grade backtesting with configurable market frictions.</w:t>
      </w:r>
    </w:p>
    <w:p>
      <w:pPr>
        <w:ind w:left="567"/>
      </w:pPr>
      <w:r>
        <w:t>2. Multi-Signal Integration: A novel composite scoring mechanism that combines rule-based factor scores with ML-predicted returns and NLP-derived sentiment signals for portfolio construction.</w:t>
      </w:r>
    </w:p>
    <w:p>
      <w:pPr>
        <w:ind w:left="567"/>
      </w:pPr>
      <w:r>
        <w:t>3. Realistic Backtesting: A backtesting engine incorporating configurable transaction costs, slippage models, rebalancing frequency controls, and benchmark comparison with the S&amp;P 500 index.</w:t>
      </w:r>
    </w:p>
    <w:p>
      <w:pPr>
        <w:ind w:left="567"/>
      </w:pPr>
      <w:r>
        <w:t>4. Empirical Validation: Comprehensive experimental evaluation demonstrating consistent outperformance of both rule-based and ML-based portfolios against the S&amp;P 500 benchmark, with detailed risk-adjusted metrics including Sharpe, Sortino, and Calmar ratios.</w:t>
      </w:r>
    </w:p>
    <w:p>
      <w:pPr>
        <w:ind w:left="567"/>
      </w:pPr>
      <w:r>
        <w:t>5. Model Explainability: Integration of SHAP (SHapley Additive exPlanations) [13] for per-prediction and global factor attribution, enabling transparent investment decision-making.</w:t>
      </w:r>
    </w:p>
    <w:p>
      <w:pPr>
        <w:pStyle w:val="Heading2"/>
      </w:pPr>
      <w:r>
        <w:t>1.3 Paper Organization</w:t>
      </w:r>
    </w:p>
    <w:p>
      <w:r>
        <w:t>The remainder of this paper is organized as follows. Section 2 reviews related work in factor investing, ML for finance, and NLP-based sentiment analysis. Section 3 presents the system architecture and design principles. Section 4 describes the methodology including factor computation, ML pipeline, sentiment analysis, and backtesting. Section 5 presents experimental results. Section 6 discusses findings, limitations, and future work. Section 7 concludes the paper.</w:t>
      </w:r>
    </w:p>
    <w:p>
      <w:pPr>
        <w:pStyle w:val="Heading1"/>
      </w:pPr>
      <w:r>
        <w:t>2. Related Work</w:t>
      </w:r>
    </w:p>
    <w:p>
      <w:pPr>
        <w:pStyle w:val="Heading2"/>
      </w:pPr>
      <w:r>
        <w:t>2.1 Factor Investing</w:t>
      </w:r>
    </w:p>
    <w:p>
      <w:r>
        <w:t>The intellectual foundations of factor investing trace to the CAPM [3], which identifies market beta as the sole explanatory factor for asset returns. Fama and French [4] extended this to include size (SMB) and value (HML) factors, later adding profitability and investment factors in their five-factor model [14]. Carhart [5] demonstrated the significance of momentum as a return predictor, while Frazzini and Pedersen [7] documented the low-volatility anomaly.</w:t>
      </w:r>
    </w:p>
    <w:p>
      <w:r>
        <w:t>Practical implementations of multi-factor strategies have been widely adopted by quantitative asset managers. The multifactor framework typically involves: (i) computing individual factor scores from fundamental and price data, (ii) constructing composite scores via weighted averaging, and (iii) selecting top-ranked securities for portfolio construction [15]. Ang [16] provides a comprehensive survey of factor investing theory and practice.</w:t>
      </w:r>
    </w:p>
    <w:p>
      <w:pPr>
        <w:pStyle w:val="Heading2"/>
      </w:pPr>
      <w:r>
        <w:t>2.2 Machine Learning in Quantitative Finance</w:t>
      </w:r>
    </w:p>
    <w:p>
      <w:r>
        <w:t>The application of ML to financial prediction has been extensively studied. Gu, Kelly, and Xiu [10] conduct a comprehensive comparison of ML methods for cross-sectional stock return prediction, finding that tree-based ensemble methods (random forests, gradient boosting) and neural networks significantly outperform linear models. Chen, Pelger, and Zhu [17] propose deep learning models for factor-based asset pricing, while Feng, Polson, and Xu [18] develop deep factor models.</w:t>
      </w:r>
    </w:p>
    <w:p>
      <w:r>
        <w:t>XGBoost [8] has become a dominant algorithm in financial ML due to its regularization capabilities, handling of missing values, and computational efficiency. LightGBM [9] offers further improvements in training speed and memory efficiency through gradient-based one-side sampling (GOSS) and exclusive feature bundling (EFB). Both algorithms have been applied to cross-sectional equity ranking [19], credit scoring [20], and options pricing [21].</w:t>
      </w:r>
    </w:p>
    <w:p>
      <w:r>
        <w:t>Feature importance and model explainability have become critical in financial applications due to regulatory requirements and risk management needs. SHAP [13] provides theoretically grounded, additive feature attributions based on Shapley values from cooperative game theory, enabling practitioners to understand which factors drive individual predictions.</w:t>
      </w:r>
    </w:p>
    <w:p>
      <w:pPr>
        <w:pStyle w:val="Heading2"/>
      </w:pPr>
      <w:r>
        <w:t>2.3 NLP and Sentiment Analysis in Finance</w:t>
      </w:r>
    </w:p>
    <w:p>
      <w:r>
        <w:t>The use of NLP for financial analysis has evolved from lexicon-based approaches [22] to transformer-based models. Loughran and McDonald [23] developed a finance-specific sentiment lexicon, while Devlin et al. [24] introduced BERT, which revolutionized text classification tasks across domains.</w:t>
      </w:r>
    </w:p>
    <w:p>
      <w:r>
        <w:t>FinBERT [11], developed by Araci, fine-tunes BERT on financial text and demonstrates state-of-the-art performance on financial sentiment classification. The ProsusAI variant of FinBERT, trained on the Financial PhraseBank corpus [25], classifies text into positive, negative, and neutral sentiment categories. Subsequent work has explored the integration of news sentiment into trading signals [26], with studies showing that sentiment-augmented models can improve portfolio performance by 2-5% annually [27].</w:t>
      </w:r>
    </w:p>
    <w:p>
      <w:pPr>
        <w:pStyle w:val="Heading2"/>
      </w:pPr>
      <w:r>
        <w:t>2.4 Backtesting Frameworks</w:t>
      </w:r>
    </w:p>
    <w:p>
      <w:r>
        <w:t>Accurate backtesting is essential for evaluating trading strategies. Bailey, Borwein, and López de Prado [28] identify common pitfalls in backtesting, including look-ahead bias, survivorship bias, and overfitting to in-sample data. Harvey, Liu, and Zhu [29] raise concerns about multiple testing and advocate for higher significance thresholds in factor discovery.</w:t>
      </w:r>
    </w:p>
    <w:p>
      <w:r>
        <w:t>Several open-source backtesting frameworks exist, including Zipline [30], Backtrader [31], and QuantConnect [32]. However, most lack integrated ML and NLP capabilities. Our work builds on these foundations by incorporating time-series-aware train-test splits to prevent data leakage, configurable transaction costs and slippage models, and seamless integration with ML and NLP pipelines.</w:t>
      </w:r>
    </w:p>
    <w:p>
      <w:pPr>
        <w:pStyle w:val="Heading2"/>
      </w:pPr>
      <w:r>
        <w:t>2.5 Interactive Visualization and Decision Support</w:t>
      </w:r>
    </w:p>
    <w:p>
      <w:r>
        <w:t>Interactive visualization plays a crucial role in quantitative research. Streamlit [33] has emerged as a popular framework for building data science dashboards, offering rapid prototyping and real-time interactivity. Plotly [34] provides publication-quality interactive charts suitable for financial data analysis. Our system combines these tools to provide comprehensive portfolio visualization, risk analysis, and explainability interfaces.</w:t>
      </w:r>
    </w:p>
    <w:p>
      <w:pPr>
        <w:pStyle w:val="Heading1"/>
      </w:pPr>
      <w:r>
        <w:t>3. System Architecture</w:t>
      </w:r>
    </w:p>
    <w:p>
      <w:pPr>
        <w:pStyle w:val="Heading2"/>
      </w:pPr>
      <w:r>
        <w:t>3.1 Design Principles</w:t>
      </w:r>
    </w:p>
    <w:p>
      <w:r>
        <w:t>QuantSim is designed around four core principles:</w:t>
      </w:r>
    </w:p>
    <w:p>
      <w:pPr>
        <w:ind w:left="567"/>
      </w:pPr>
      <w:r>
        <w:t>1. Modularity: Each component (data ingestion, factor scoring, ML training, sentiment analysis, backtesting, visualization) is implemented as an independent module with well-defined interfaces.</w:t>
      </w:r>
    </w:p>
    <w:p>
      <w:pPr>
        <w:ind w:left="567"/>
      </w:pPr>
      <w:r>
        <w:t>2. Reproducibility: All data transformations, model training, and backtesting procedures use configurable parameters with deterministic random seeds (where applicable).</w:t>
      </w:r>
    </w:p>
    <w:p>
      <w:pPr>
        <w:ind w:left="567"/>
      </w:pPr>
      <w:r>
        <w:t>3. Extensibility: New factors, ML models, or data sources can be added without modifying the core pipeline.</w:t>
      </w:r>
    </w:p>
    <w:p>
      <w:pPr>
        <w:ind w:left="567"/>
      </w:pPr>
      <w:r>
        <w:t>4. Production Readiness: The system includes comprehensive logging, error handling, database persistence, and query optimization suitable for deployment beyond research prototyping.</w:t>
      </w:r>
    </w:p>
    <w:p>
      <w:pPr>
        <w:pStyle w:val="Heading2"/>
      </w:pPr>
      <w:r>
        <w:t>3.2 Architecture Overview</w:t>
      </w:r>
    </w:p>
    <w:p>
      <w:r>
        <w:t>The system architecture comprises six principal layers, illustrated in Fig. 1.</w:t>
      </w:r>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029200" cy="5029200"/>
                    </a:xfrm>
                    <a:prstGeom prst="rect"/>
                  </pic:spPr>
                </pic:pic>
              </a:graphicData>
            </a:graphic>
          </wp:inline>
        </w:drawing>
      </w:r>
    </w:p>
    <w:p>
      <w:pPr>
        <w:spacing w:after="240"/>
        <w:jc w:val="center"/>
      </w:pPr>
      <w:r>
        <w:rPr>
          <w:i/>
          <w:sz w:val="18"/>
        </w:rPr>
        <w:t>Fig. 1. QuantSim system architecture showing the six-layer design with data flow from ingestion through persistence, processing, ML/NLP, analytics, and presentation.</w:t>
      </w:r>
    </w:p>
    <w:p>
      <w:pPr>
        <w:pStyle w:val="Heading2"/>
      </w:pPr>
      <w:r>
        <w:t>3.3 Technology Stack</w:t>
      </w:r>
    </w:p>
    <w:p>
      <w:pPr>
        <w:spacing w:after="80"/>
        <w:jc w:val="center"/>
      </w:pPr>
      <w:r>
        <w:rPr>
          <w:b/>
          <w:sz w:val="18"/>
        </w:rPr>
        <w:t>Table 1. Technology stack used in QuantSim.</w:t>
      </w:r>
    </w:p>
    <w:tbl>
      <w:tblPr>
        <w:tblStyle w:val="TableGrid"/>
        <w:tblW w:type="auto" w:w="0"/>
        <w:jc w:val="center"/>
        <w:tblLook w:firstColumn="1" w:firstRow="1" w:lastColumn="0" w:lastRow="0" w:noHBand="0" w:noVBand="1" w:val="04A0"/>
      </w:tblPr>
      <w:tblGrid>
        <w:gridCol w:w="4703"/>
        <w:gridCol w:w="4703"/>
      </w:tblGrid>
      <w:tr>
        <w:tc>
          <w:tcPr>
            <w:tcW w:type="dxa" w:w="4703"/>
          </w:tcPr>
          <w:p>
            <w:pPr>
              <w:jc w:val="center"/>
            </w:pPr>
            <w:r>
              <w:rPr>
                <w:rFonts w:ascii="Times New Roman" w:hAnsi="Times New Roman"/>
                <w:b/>
                <w:sz w:val="18"/>
              </w:rPr>
              <w:t>Layer</w:t>
            </w:r>
          </w:p>
        </w:tc>
        <w:tc>
          <w:tcPr>
            <w:tcW w:type="dxa" w:w="4703"/>
          </w:tcPr>
          <w:p>
            <w:pPr>
              <w:jc w:val="center"/>
            </w:pPr>
            <w:r>
              <w:rPr>
                <w:rFonts w:ascii="Times New Roman" w:hAnsi="Times New Roman"/>
                <w:b/>
                <w:sz w:val="18"/>
              </w:rPr>
              <w:t>Technologies</w:t>
            </w:r>
          </w:p>
        </w:tc>
      </w:tr>
      <w:tr>
        <w:tc>
          <w:tcPr>
            <w:tcW w:type="dxa" w:w="4703"/>
          </w:tcPr>
          <w:p>
            <w:pPr>
              <w:jc w:val="center"/>
            </w:pPr>
            <w:r>
              <w:rPr>
                <w:rFonts w:ascii="Times New Roman" w:hAnsi="Times New Roman"/>
                <w:sz w:val="18"/>
              </w:rPr>
              <w:t>Language</w:t>
            </w:r>
          </w:p>
        </w:tc>
        <w:tc>
          <w:tcPr>
            <w:tcW w:type="dxa" w:w="4703"/>
          </w:tcPr>
          <w:p>
            <w:pPr>
              <w:jc w:val="center"/>
            </w:pPr>
            <w:r>
              <w:rPr>
                <w:rFonts w:ascii="Times New Roman" w:hAnsi="Times New Roman"/>
                <w:sz w:val="18"/>
              </w:rPr>
              <w:t>Python 3.10+</w:t>
            </w:r>
          </w:p>
        </w:tc>
      </w:tr>
      <w:tr>
        <w:tc>
          <w:tcPr>
            <w:tcW w:type="dxa" w:w="4703"/>
          </w:tcPr>
          <w:p>
            <w:pPr>
              <w:jc w:val="center"/>
            </w:pPr>
            <w:r>
              <w:rPr>
                <w:rFonts w:ascii="Times New Roman" w:hAnsi="Times New Roman"/>
                <w:sz w:val="18"/>
              </w:rPr>
              <w:t>ML/DL</w:t>
            </w:r>
          </w:p>
        </w:tc>
        <w:tc>
          <w:tcPr>
            <w:tcW w:type="dxa" w:w="4703"/>
          </w:tcPr>
          <w:p>
            <w:pPr>
              <w:jc w:val="center"/>
            </w:pPr>
            <w:r>
              <w:rPr>
                <w:rFonts w:ascii="Times New Roman" w:hAnsi="Times New Roman"/>
                <w:sz w:val="18"/>
              </w:rPr>
              <w:t>XGBoost ≥2.0, LightGBM ≥4.0, scikit-learn ≥1.2, PyTorch ≥2.0</w:t>
            </w:r>
          </w:p>
        </w:tc>
      </w:tr>
      <w:tr>
        <w:tc>
          <w:tcPr>
            <w:tcW w:type="dxa" w:w="4703"/>
          </w:tcPr>
          <w:p>
            <w:pPr>
              <w:jc w:val="center"/>
            </w:pPr>
            <w:r>
              <w:rPr>
                <w:rFonts w:ascii="Times New Roman" w:hAnsi="Times New Roman"/>
                <w:sz w:val="18"/>
              </w:rPr>
              <w:t>NLP</w:t>
            </w:r>
          </w:p>
        </w:tc>
        <w:tc>
          <w:tcPr>
            <w:tcW w:type="dxa" w:w="4703"/>
          </w:tcPr>
          <w:p>
            <w:pPr>
              <w:jc w:val="center"/>
            </w:pPr>
            <w:r>
              <w:rPr>
                <w:rFonts w:ascii="Times New Roman" w:hAnsi="Times New Roman"/>
                <w:sz w:val="18"/>
              </w:rPr>
              <w:t>Hugging Face Transformers ≥4.30, ProsusAI/FinBERT</w:t>
            </w:r>
          </w:p>
        </w:tc>
      </w:tr>
      <w:tr>
        <w:tc>
          <w:tcPr>
            <w:tcW w:type="dxa" w:w="4703"/>
          </w:tcPr>
          <w:p>
            <w:pPr>
              <w:jc w:val="center"/>
            </w:pPr>
            <w:r>
              <w:rPr>
                <w:rFonts w:ascii="Times New Roman" w:hAnsi="Times New Roman"/>
                <w:sz w:val="18"/>
              </w:rPr>
              <w:t>Explainability</w:t>
            </w:r>
          </w:p>
        </w:tc>
        <w:tc>
          <w:tcPr>
            <w:tcW w:type="dxa" w:w="4703"/>
          </w:tcPr>
          <w:p>
            <w:pPr>
              <w:jc w:val="center"/>
            </w:pPr>
            <w:r>
              <w:rPr>
                <w:rFonts w:ascii="Times New Roman" w:hAnsi="Times New Roman"/>
                <w:sz w:val="18"/>
              </w:rPr>
              <w:t>SHAP ≥0.43</w:t>
            </w:r>
          </w:p>
        </w:tc>
      </w:tr>
      <w:tr>
        <w:tc>
          <w:tcPr>
            <w:tcW w:type="dxa" w:w="4703"/>
          </w:tcPr>
          <w:p>
            <w:pPr>
              <w:jc w:val="center"/>
            </w:pPr>
            <w:r>
              <w:rPr>
                <w:rFonts w:ascii="Times New Roman" w:hAnsi="Times New Roman"/>
                <w:sz w:val="18"/>
              </w:rPr>
              <w:t>Data Processing</w:t>
            </w:r>
          </w:p>
        </w:tc>
        <w:tc>
          <w:tcPr>
            <w:tcW w:type="dxa" w:w="4703"/>
          </w:tcPr>
          <w:p>
            <w:pPr>
              <w:jc w:val="center"/>
            </w:pPr>
            <w:r>
              <w:rPr>
                <w:rFonts w:ascii="Times New Roman" w:hAnsi="Times New Roman"/>
                <w:sz w:val="18"/>
              </w:rPr>
              <w:t>Pandas ≥2.0, NumPy ≥1.22</w:t>
            </w:r>
          </w:p>
        </w:tc>
      </w:tr>
      <w:tr>
        <w:tc>
          <w:tcPr>
            <w:tcW w:type="dxa" w:w="4703"/>
          </w:tcPr>
          <w:p>
            <w:pPr>
              <w:jc w:val="center"/>
            </w:pPr>
            <w:r>
              <w:rPr>
                <w:rFonts w:ascii="Times New Roman" w:hAnsi="Times New Roman"/>
                <w:sz w:val="18"/>
              </w:rPr>
              <w:t>Visualization</w:t>
            </w:r>
          </w:p>
        </w:tc>
        <w:tc>
          <w:tcPr>
            <w:tcW w:type="dxa" w:w="4703"/>
          </w:tcPr>
          <w:p>
            <w:pPr>
              <w:jc w:val="center"/>
            </w:pPr>
            <w:r>
              <w:rPr>
                <w:rFonts w:ascii="Times New Roman" w:hAnsi="Times New Roman"/>
                <w:sz w:val="18"/>
              </w:rPr>
              <w:t>Streamlit ≥1.20, Plotly ≥5.15, Matplotlib ≥3.6, Seaborn ≥0.12</w:t>
            </w:r>
          </w:p>
        </w:tc>
      </w:tr>
      <w:tr>
        <w:tc>
          <w:tcPr>
            <w:tcW w:type="dxa" w:w="4703"/>
          </w:tcPr>
          <w:p>
            <w:pPr>
              <w:jc w:val="center"/>
            </w:pPr>
            <w:r>
              <w:rPr>
                <w:rFonts w:ascii="Times New Roman" w:hAnsi="Times New Roman"/>
                <w:sz w:val="18"/>
              </w:rPr>
              <w:t>Database</w:t>
            </w:r>
          </w:p>
        </w:tc>
        <w:tc>
          <w:tcPr>
            <w:tcW w:type="dxa" w:w="4703"/>
          </w:tcPr>
          <w:p>
            <w:pPr>
              <w:jc w:val="center"/>
            </w:pPr>
            <w:r>
              <w:rPr>
                <w:rFonts w:ascii="Times New Roman" w:hAnsi="Times New Roman"/>
                <w:sz w:val="18"/>
              </w:rPr>
              <w:t>PostgreSQL (production), SQLite (development), SQLAlchemy ≥2.0</w:t>
            </w:r>
          </w:p>
        </w:tc>
      </w:tr>
      <w:tr>
        <w:tc>
          <w:tcPr>
            <w:tcW w:type="dxa" w:w="4703"/>
          </w:tcPr>
          <w:p>
            <w:pPr>
              <w:jc w:val="center"/>
            </w:pPr>
            <w:r>
              <w:rPr>
                <w:rFonts w:ascii="Times New Roman" w:hAnsi="Times New Roman"/>
                <w:sz w:val="18"/>
              </w:rPr>
              <w:t>Market Data APIs</w:t>
            </w:r>
          </w:p>
        </w:tc>
        <w:tc>
          <w:tcPr>
            <w:tcW w:type="dxa" w:w="4703"/>
          </w:tcPr>
          <w:p>
            <w:pPr>
              <w:jc w:val="center"/>
            </w:pPr>
            <w:r>
              <w:rPr>
                <w:rFonts w:ascii="Times New Roman" w:hAnsi="Times New Roman"/>
                <w:sz w:val="18"/>
              </w:rPr>
              <w:t>Alpha Vantage, Finnhub, yfinance ≥0.2</w:t>
            </w:r>
          </w:p>
        </w:tc>
      </w:tr>
      <w:tr>
        <w:tc>
          <w:tcPr>
            <w:tcW w:type="dxa" w:w="4703"/>
          </w:tcPr>
          <w:p>
            <w:pPr>
              <w:jc w:val="center"/>
            </w:pPr>
            <w:r>
              <w:rPr>
                <w:rFonts w:ascii="Times New Roman" w:hAnsi="Times New Roman"/>
                <w:sz w:val="18"/>
              </w:rPr>
              <w:t>AI Insights</w:t>
            </w:r>
          </w:p>
        </w:tc>
        <w:tc>
          <w:tcPr>
            <w:tcW w:type="dxa" w:w="4703"/>
          </w:tcPr>
          <w:p>
            <w:pPr>
              <w:jc w:val="center"/>
            </w:pPr>
            <w:r>
              <w:rPr>
                <w:rFonts w:ascii="Times New Roman" w:hAnsi="Times New Roman"/>
                <w:sz w:val="18"/>
              </w:rPr>
              <w:t>OpenAI GPT-4o-mini (with rule-based fallback)</w:t>
            </w:r>
          </w:p>
        </w:tc>
      </w:tr>
      <w:tr>
        <w:tc>
          <w:tcPr>
            <w:tcW w:type="dxa" w:w="4703"/>
          </w:tcPr>
          <w:p>
            <w:pPr>
              <w:jc w:val="center"/>
            </w:pPr>
            <w:r>
              <w:rPr>
                <w:rFonts w:ascii="Times New Roman" w:hAnsi="Times New Roman"/>
                <w:sz w:val="18"/>
              </w:rPr>
              <w:t>Testing</w:t>
            </w:r>
          </w:p>
        </w:tc>
        <w:tc>
          <w:tcPr>
            <w:tcW w:type="dxa" w:w="4703"/>
          </w:tcPr>
          <w:p>
            <w:pPr>
              <w:jc w:val="center"/>
            </w:pPr>
            <w:r>
              <w:rPr>
                <w:rFonts w:ascii="Times New Roman" w:hAnsi="Times New Roman"/>
                <w:sz w:val="18"/>
              </w:rPr>
              <w:t>pytest ≥7.0</w:t>
            </w:r>
          </w:p>
        </w:tc>
      </w:tr>
    </w:tbl>
    <w:p/>
    <w:p>
      <w:pPr>
        <w:pStyle w:val="Heading2"/>
      </w:pPr>
      <w:r>
        <w:t>3.4 Database Schema</w:t>
      </w:r>
    </w:p>
    <w:p>
      <w:r>
        <w:t>The persistence layer employs an 8-table relational schema designed for efficient query performance. Core tables include: users, portfolio_snapshots, holdings, transactions, and metrics. Three new tables were added: news (Finnhub articles), sentiment_scores (FinBERT scores per ticker per date), and model_predictions (ML predictions for backtesting). All tables include composite indexes on frequently queried columns (ticker+date, user_id+timestamp) with slow query detection (configurable threshold, default 1.0s) and automated index recommendation via the query optimizer module.</w:t>
      </w:r>
    </w:p>
    <w:p>
      <w:pPr>
        <w:pStyle w:val="Heading1"/>
      </w:pPr>
      <w:r>
        <w:t>4. Methodology</w:t>
      </w:r>
    </w:p>
    <w:p>
      <w:pPr>
        <w:pStyle w:val="Heading2"/>
      </w:pPr>
      <w:r>
        <w:t>4.1 Data Sources and Preprocessing</w:t>
      </w:r>
    </w:p>
    <w:p>
      <w:pPr>
        <w:pStyle w:val="Heading3"/>
      </w:pPr>
      <w:r>
        <w:t>4.1.1 Dataset Description</w:t>
      </w:r>
    </w:p>
    <w:p>
      <w:r>
        <w:t>The primary dataset comprises S&amp;P 500 constituent data including: daily OHLCV (Open, High, Low, Close, Volume) data, split-adjusted prices for accurate return computation, quarterly financial statements (&gt;50 fundamental fields per company per period), and securities metadata with GICS sector classification. Additionally, real-time market data is ingested from Alpha Vantage (primary) with yfinance fallback, and financial news from Finnhub API.</w:t>
      </w:r>
    </w:p>
    <w:p>
      <w:pPr>
        <w:pStyle w:val="Heading3"/>
      </w:pPr>
      <w:r>
        <w:t>4.1.2 Data Cleaning Pipeline</w:t>
      </w:r>
    </w:p>
    <w:p>
      <w:pPr>
        <w:ind w:left="567"/>
      </w:pPr>
      <w:r>
        <w:t>1. Deduplication: Records are deduplicated on (date, symbol) pairs, retaining the most recent observation.</w:t>
      </w:r>
    </w:p>
    <w:p>
      <w:pPr>
        <w:ind w:left="567"/>
      </w:pPr>
      <w:r>
        <w:t>2. Missing value treatment: NaN and infinite values are removed after factor computation.</w:t>
      </w:r>
    </w:p>
    <w:p>
      <w:pPr>
        <w:ind w:left="567"/>
      </w:pPr>
      <w:r>
        <w:t>3. Outlier capping: Values exceeding |10⁶| are rounded to prevent numerical instability.</w:t>
      </w:r>
    </w:p>
    <w:p>
      <w:pPr>
        <w:ind w:left="567"/>
      </w:pPr>
      <w:r>
        <w:t>4. Temporal alignment: All datasets are aligned to a common trading calendar with datetime indexing.</w:t>
      </w:r>
    </w:p>
    <w:p>
      <w:pPr>
        <w:ind w:left="567"/>
      </w:pPr>
      <w:r>
        <w:t>5. Type conversion: Date columns are standardized to datetime64[ns] for time-series operations.</w:t>
      </w:r>
    </w:p>
    <w:p>
      <w:pPr>
        <w:pStyle w:val="Heading2"/>
      </w:pPr>
      <w:r>
        <w:t>4.2 Factor Model Design</w:t>
      </w:r>
    </w:p>
    <w:p>
      <w:r>
        <w:t>We compute five factor scores for each stock at each time period, following established academic definitions:</w:t>
      </w:r>
    </w:p>
    <w:p>
      <w:pPr>
        <w:pStyle w:val="Heading3"/>
      </w:pPr>
      <w:r>
        <w:t>4.2.1 Value Factor</w:t>
      </w:r>
    </w:p>
    <w:p>
      <w:r>
        <w:t>The value factor identifies undervalued stocks using fundamental ratios. The composite value score is derived from: V_i = w₁·rank(1/PE_i) + w₂·rank(1/PB_i) + w₃·rank(DY_i), where PE denotes the price-to-earnings ratio, PB the price-to-book ratio, DY the dividend yield, and rank(·) applies cross-sectional percentile ranking within the S&amp;P 500 universe.</w:t>
      </w:r>
    </w:p>
    <w:p>
      <w:pPr>
        <w:pStyle w:val="Heading3"/>
      </w:pPr>
      <w:r>
        <w:t>4.2.2 Momentum Factor</w:t>
      </w:r>
    </w:p>
    <w:p>
      <w:r>
        <w:t>The momentum factor captures price persistence using trailing returns: M_i = rank(R_{i,t-12:t-1}), where R denotes the cumulative return from 12 months to 1 month prior, excluding the most recent month to avoid short-term reversal effects [5].</w:t>
      </w:r>
    </w:p>
    <w:p>
      <w:pPr>
        <w:pStyle w:val="Heading3"/>
      </w:pPr>
      <w:r>
        <w:t>4.2.3 Quality Factor</w:t>
      </w:r>
    </w:p>
    <w:p>
      <w:r>
        <w:t>The quality factor selects financially robust companies: Q_i = w₁·rank(ROE_i) + w₂·rank(GM_i) + w₃·rank(CR_i), where ROE is return on equity, GM is gross margin, and CR is the current ratio.</w:t>
      </w:r>
    </w:p>
    <w:p>
      <w:pPr>
        <w:pStyle w:val="Heading3"/>
      </w:pPr>
      <w:r>
        <w:t>4.2.4 Volatility Factor</w:t>
      </w:r>
    </w:p>
    <w:p>
      <w:r>
        <w:t>The volatility factor targets low-risk stocks, consistent with the low-volatility anomaly [7]: σ_i = rank(1/σ_{daily,i,t-60:t}), where σ_{daily} is the standard deviation of daily returns over the trailing 60-day window. The inverse ranking ensures that low-volatility stocks receive higher scores.</w:t>
      </w:r>
    </w:p>
    <w:p>
      <w:pPr>
        <w:pStyle w:val="Heading3"/>
      </w:pPr>
      <w:r>
        <w:t>4.2.5 Volume Factor</w:t>
      </w:r>
    </w:p>
    <w:p>
      <w:r>
        <w:t>The volume factor captures liquidity and trading activity: L_i = rank(ADTV_{i,t-20:t}), where ADTV is the average daily trading volume over the trailing 20-day window.</w:t>
      </w:r>
    </w:p>
    <w:p>
      <w:pPr>
        <w:pStyle w:val="Heading3"/>
      </w:pPr>
      <w:r>
        <w:t>4.2.6 Composite Score</w:t>
      </w:r>
    </w:p>
    <w:p>
      <w:r>
        <w:t>Individual factor scores are combined via weighted averaging: CS_i = Σ w_f · S_{i,f}, where F = {value, momentum, quality, volatility, volume}, S_{i,f} is the normalized factor score for stock i on factor f, and w_f are user-configurable weights (with equal weighting as default). When sentiment data is available, a sixth term w_s · Sent_i is added, where Sent_i ∈ [-1, +1] is the FinBERT-derived sentiment score.</w:t>
      </w:r>
    </w:p>
    <w:p>
      <w:pPr>
        <w:pStyle w:val="Heading2"/>
      </w:pPr>
      <w:r>
        <w:t>4.3 Machine Learning Pipeline</w:t>
      </w:r>
    </w:p>
    <w:p>
      <w:pPr>
        <w:pStyle w:val="Heading3"/>
      </w:pPr>
      <w:r>
        <w:t>4.3.1 Model Architecture</w:t>
      </w:r>
    </w:p>
    <w:p>
      <w:r>
        <w:t>The ML pipeline employs gradient-boosted decision trees for composite score prediction. XGBoost [8] is the primary model, with LightGBM [9] as an automatic fallback. Configuration: 200 estimators, max depth 6, learning rate 0.05, histogram-based tree method, default L1/L2 regularization, random state 42 for reproducibility, all available cores (n_jobs=-1).</w:t>
      </w:r>
    </w:p>
    <w:p>
      <w:pPr>
        <w:pStyle w:val="Heading3"/>
      </w:pPr>
      <w:r>
        <w:t>4.3.2 Feature Engineering</w:t>
      </w:r>
    </w:p>
    <w:p>
      <w:r>
        <w:t>The feature vector for each stock-date observation consists of five standardized factor scores: x_i = [value_i, momentum_i, quality_i, volatility_i, volume_i]. Feature normalization is performed using StandardScaler (zero mean, unit variance) fitted on the training set only to prevent information leakage.</w:t>
      </w:r>
    </w:p>
    <w:p>
      <w:pPr>
        <w:pStyle w:val="Heading3"/>
      </w:pPr>
      <w:r>
        <w:t>4.3.3 Time-Series Aware Train-Test Split</w:t>
      </w:r>
    </w:p>
    <w:p>
      <w:r>
        <w:t>To prevent look-ahead bias — a critical concern in financial ML [28] — we employ a temporal train-test split: (1) All unique dates are sorted chronologically. (2) A cutoff date is determined such that the first (1 - τ) fraction of dates constitutes the training set and the remaining τ fraction forms the test set (default τ = 0.2). (3) Training samples are those with dates strictly before the cutoff; test samples are those at or after the cutoff. This ensures that the model never trains on future data.</w:t>
      </w:r>
    </w:p>
    <w:p>
      <w:pPr>
        <w:pStyle w:val="Heading3"/>
      </w:pPr>
      <w:r>
        <w:t>4.3.4 Model Evaluation</w:t>
      </w:r>
    </w:p>
    <w:p>
      <w:r>
        <w:t>Model performance is evaluated using three regression metrics on the held-out test set: RMSE (Root Mean Squared Error), MAE (Mean Absolute Error), and R² (Coefficient of Determination).</w:t>
      </w:r>
    </w:p>
    <w:p>
      <w:pPr>
        <w:pStyle w:val="Heading2"/>
      </w:pPr>
      <w:r>
        <w:t>4.4 Sentiment Analysis Pipeline</w:t>
      </w:r>
    </w:p>
    <w:p>
      <w:pPr>
        <w:pStyle w:val="Heading3"/>
      </w:pPr>
      <w:r>
        <w:t>4.4.1 News Data Acquisition</w:t>
      </w:r>
    </w:p>
    <w:p>
      <w:r>
        <w:t>Financial news is sourced via the Finnhub API, which provides company-specific news articles with headlines, summaries, publication timestamps, and source metadata. The pipeline supports configurable lookback windows (default: 30 days) and processes multiple tickers in batch mode.</w:t>
      </w:r>
    </w:p>
    <w:p>
      <w:pPr>
        <w:pStyle w:val="Heading3"/>
      </w:pPr>
      <w:r>
        <w:t>4.4.2 FinBERT Sentiment Model</w:t>
      </w:r>
    </w:p>
    <w:p>
      <w:r>
        <w:t>Sentiment classification employs the ProsusAI/FinBERT model [11], a domain-adapted BERT [24] model trained on the Financial PhraseBank [25]. Base model: BERT-base (110M parameters). Fine-tuning corpus: Financial PhraseBank (~4,846 sentences, annotated by financial domain experts). Output classes: {positive, negative, neutral}. Max sequence length: 512 tokens.</w:t>
      </w:r>
    </w:p>
    <w:p>
      <w:pPr>
        <w:pStyle w:val="Heading3"/>
      </w:pPr>
      <w:r>
        <w:t>4.4.3 Sentiment Score Computation</w:t>
      </w:r>
    </w:p>
    <w:p>
      <w:r>
        <w:t>For each ticker, the sentiment pipeline: (1) Fetches n news headlines from Finnhub. (2) Truncates each to 512 tokens. (3) Batches in groups of 16. (4) Classifies using FinBERT. (5) Converts to numeric: s_j = +p_j if positive, -p_j if negative, 0 if neutral. (6) Aggregates per-ticker: Sent_i = (1/n)Σs_j. The aggregate label is determined by thresholds: positive if Sent_i &gt; 0.1, negative if Sent_i &lt; -0.1, neutral otherwise.</w:t>
      </w:r>
    </w:p>
    <w:p>
      <w:pPr>
        <w:pStyle w:val="Heading2"/>
      </w:pPr>
      <w:r>
        <w:t>4.5 SHAP Explainability</w:t>
      </w:r>
    </w:p>
    <w:p>
      <w:r>
        <w:t>Model interpretability is achieved through SHAP TreeExplainer [13], which computes exact Shapley values for tree-based models in polynomial time. Per-sample attribution quantifies the marginal contribution of each factor. Global feature importance is computed as: I_f = (1/N)Σ|φ_{i,f}|, where φ_{i,f} is the SHAP value for feature f on sample i. For each sample, the top-3 contributing factors are identified with directionality. Results are persisted as JSON and exported as SHAP bar and beeswarm plots.</w:t>
      </w:r>
    </w:p>
    <w:p>
      <w:pPr>
        <w:pStyle w:val="Heading2"/>
      </w:pPr>
      <w:r>
        <w:t>4.6 Portfolio Construction</w:t>
      </w:r>
    </w:p>
    <w:p>
      <w:r>
        <w:t>Stocks are ranked by their composite score (rule-based) or predicted return (ML-based), and the top-50 securities are selected. Two weighting schemes are implemented: (1) Equal Weight (EW): w_i = 1/N for all stocks. (2) Risk-Adjusted (RA): Weights inversely proportional to trailing volatility: w_i = (1/σ_i) / Σ(1/σ_j). Rebalancing is supported at daily, monthly, and quarterly frequencies.</w:t>
      </w:r>
    </w:p>
    <w:p>
      <w:pPr>
        <w:pStyle w:val="Heading2"/>
      </w:pPr>
      <w:r>
        <w:t>4.7 Backtesting Engine</w:t>
      </w:r>
    </w:p>
    <w:p>
      <w:r>
        <w:t>Daily portfolio returns are computed as: R_{p,t} = Σ w_i · r_{i,t}. Portfolio turnover is explicitly computed at each rebalancing event. Transaction costs are deducted proportionally: TC_t = Turnover_t × c (default c = 0.1%). Slippage penalty of s basis points (default 5 bps) is applied on the first trading day following each rebalance.</w:t>
      </w:r>
    </w:p>
    <w:p>
      <w:pPr>
        <w:spacing w:after="80"/>
        <w:jc w:val="center"/>
      </w:pPr>
      <w:r>
        <w:rPr>
          <w:b/>
          <w:sz w:val="18"/>
        </w:rPr>
        <w:t>Table 2. Performance metrics computed by the backtesting engine.</w:t>
      </w:r>
    </w:p>
    <w:tbl>
      <w:tblPr>
        <w:tblStyle w:val="TableGrid"/>
        <w:tblW w:type="auto" w:w="0"/>
        <w:jc w:val="center"/>
        <w:tblLook w:firstColumn="1" w:firstRow="1" w:lastColumn="0" w:lastRow="0" w:noHBand="0" w:noVBand="1" w:val="04A0"/>
      </w:tblPr>
      <w:tblGrid>
        <w:gridCol w:w="4703"/>
        <w:gridCol w:w="4703"/>
      </w:tblGrid>
      <w:tr>
        <w:tc>
          <w:tcPr>
            <w:tcW w:type="dxa" w:w="4703"/>
          </w:tcPr>
          <w:p>
            <w:pPr>
              <w:jc w:val="center"/>
            </w:pPr>
            <w:r>
              <w:rPr>
                <w:rFonts w:ascii="Times New Roman" w:hAnsi="Times New Roman"/>
                <w:b/>
                <w:sz w:val="18"/>
              </w:rPr>
              <w:t>Metric</w:t>
            </w:r>
          </w:p>
        </w:tc>
        <w:tc>
          <w:tcPr>
            <w:tcW w:type="dxa" w:w="4703"/>
          </w:tcPr>
          <w:p>
            <w:pPr>
              <w:jc w:val="center"/>
            </w:pPr>
            <w:r>
              <w:rPr>
                <w:rFonts w:ascii="Times New Roman" w:hAnsi="Times New Roman"/>
                <w:b/>
                <w:sz w:val="18"/>
              </w:rPr>
              <w:t>Formula</w:t>
            </w:r>
          </w:p>
        </w:tc>
      </w:tr>
      <w:tr>
        <w:tc>
          <w:tcPr>
            <w:tcW w:type="dxa" w:w="4703"/>
          </w:tcPr>
          <w:p>
            <w:pPr>
              <w:jc w:val="center"/>
            </w:pPr>
            <w:r>
              <w:rPr>
                <w:rFonts w:ascii="Times New Roman" w:hAnsi="Times New Roman"/>
                <w:sz w:val="18"/>
              </w:rPr>
              <w:t>Cumulative Return</w:t>
            </w:r>
          </w:p>
        </w:tc>
        <w:tc>
          <w:tcPr>
            <w:tcW w:type="dxa" w:w="4703"/>
          </w:tcPr>
          <w:p>
            <w:pPr>
              <w:jc w:val="center"/>
            </w:pPr>
            <w:r>
              <w:rPr>
                <w:rFonts w:ascii="Times New Roman" w:hAnsi="Times New Roman"/>
                <w:sz w:val="18"/>
              </w:rPr>
              <w:t>∏(1 + R_t) - 1</w:t>
            </w:r>
          </w:p>
        </w:tc>
      </w:tr>
      <w:tr>
        <w:tc>
          <w:tcPr>
            <w:tcW w:type="dxa" w:w="4703"/>
          </w:tcPr>
          <w:p>
            <w:pPr>
              <w:jc w:val="center"/>
            </w:pPr>
            <w:r>
              <w:rPr>
                <w:rFonts w:ascii="Times New Roman" w:hAnsi="Times New Roman"/>
                <w:sz w:val="18"/>
              </w:rPr>
              <w:t>Annualized Return</w:t>
            </w:r>
          </w:p>
        </w:tc>
        <w:tc>
          <w:tcPr>
            <w:tcW w:type="dxa" w:w="4703"/>
          </w:tcPr>
          <w:p>
            <w:pPr>
              <w:jc w:val="center"/>
            </w:pPr>
            <w:r>
              <w:rPr>
                <w:rFonts w:ascii="Times New Roman" w:hAnsi="Times New Roman"/>
                <w:sz w:val="18"/>
              </w:rPr>
              <w:t>(1 + R_cum)^(252/T) - 1</w:t>
            </w:r>
          </w:p>
        </w:tc>
      </w:tr>
      <w:tr>
        <w:tc>
          <w:tcPr>
            <w:tcW w:type="dxa" w:w="4703"/>
          </w:tcPr>
          <w:p>
            <w:pPr>
              <w:jc w:val="center"/>
            </w:pPr>
            <w:r>
              <w:rPr>
                <w:rFonts w:ascii="Times New Roman" w:hAnsi="Times New Roman"/>
                <w:sz w:val="18"/>
              </w:rPr>
              <w:t>Annualized Volatility</w:t>
            </w:r>
          </w:p>
        </w:tc>
        <w:tc>
          <w:tcPr>
            <w:tcW w:type="dxa" w:w="4703"/>
          </w:tcPr>
          <w:p>
            <w:pPr>
              <w:jc w:val="center"/>
            </w:pPr>
            <w:r>
              <w:rPr>
                <w:rFonts w:ascii="Times New Roman" w:hAnsi="Times New Roman"/>
                <w:sz w:val="18"/>
              </w:rPr>
              <w:t>σ_daily × √252</w:t>
            </w:r>
          </w:p>
        </w:tc>
      </w:tr>
      <w:tr>
        <w:tc>
          <w:tcPr>
            <w:tcW w:type="dxa" w:w="4703"/>
          </w:tcPr>
          <w:p>
            <w:pPr>
              <w:jc w:val="center"/>
            </w:pPr>
            <w:r>
              <w:rPr>
                <w:rFonts w:ascii="Times New Roman" w:hAnsi="Times New Roman"/>
                <w:sz w:val="18"/>
              </w:rPr>
              <w:t>Sharpe Ratio</w:t>
            </w:r>
          </w:p>
        </w:tc>
        <w:tc>
          <w:tcPr>
            <w:tcW w:type="dxa" w:w="4703"/>
          </w:tcPr>
          <w:p>
            <w:pPr>
              <w:jc w:val="center"/>
            </w:pPr>
            <w:r>
              <w:rPr>
                <w:rFonts w:ascii="Times New Roman" w:hAnsi="Times New Roman"/>
                <w:sz w:val="18"/>
              </w:rPr>
              <w:t>(R_ann - R_f) / σ_ann</w:t>
            </w:r>
          </w:p>
        </w:tc>
      </w:tr>
      <w:tr>
        <w:tc>
          <w:tcPr>
            <w:tcW w:type="dxa" w:w="4703"/>
          </w:tcPr>
          <w:p>
            <w:pPr>
              <w:jc w:val="center"/>
            </w:pPr>
            <w:r>
              <w:rPr>
                <w:rFonts w:ascii="Times New Roman" w:hAnsi="Times New Roman"/>
                <w:sz w:val="18"/>
              </w:rPr>
              <w:t>Sortino Ratio</w:t>
            </w:r>
          </w:p>
        </w:tc>
        <w:tc>
          <w:tcPr>
            <w:tcW w:type="dxa" w:w="4703"/>
          </w:tcPr>
          <w:p>
            <w:pPr>
              <w:jc w:val="center"/>
            </w:pPr>
            <w:r>
              <w:rPr>
                <w:rFonts w:ascii="Times New Roman" w:hAnsi="Times New Roman"/>
                <w:sz w:val="18"/>
              </w:rPr>
              <w:t>(R_ann - R_f) / σ_downside</w:t>
            </w:r>
          </w:p>
        </w:tc>
      </w:tr>
      <w:tr>
        <w:tc>
          <w:tcPr>
            <w:tcW w:type="dxa" w:w="4703"/>
          </w:tcPr>
          <w:p>
            <w:pPr>
              <w:jc w:val="center"/>
            </w:pPr>
            <w:r>
              <w:rPr>
                <w:rFonts w:ascii="Times New Roman" w:hAnsi="Times New Roman"/>
                <w:sz w:val="18"/>
              </w:rPr>
              <w:t>Calmar Ratio</w:t>
            </w:r>
          </w:p>
        </w:tc>
        <w:tc>
          <w:tcPr>
            <w:tcW w:type="dxa" w:w="4703"/>
          </w:tcPr>
          <w:p>
            <w:pPr>
              <w:jc w:val="center"/>
            </w:pPr>
            <w:r>
              <w:rPr>
                <w:rFonts w:ascii="Times New Roman" w:hAnsi="Times New Roman"/>
                <w:sz w:val="18"/>
              </w:rPr>
              <w:t>R_ann / |MaxDD|</w:t>
            </w:r>
          </w:p>
        </w:tc>
      </w:tr>
      <w:tr>
        <w:tc>
          <w:tcPr>
            <w:tcW w:type="dxa" w:w="4703"/>
          </w:tcPr>
          <w:p>
            <w:pPr>
              <w:jc w:val="center"/>
            </w:pPr>
            <w:r>
              <w:rPr>
                <w:rFonts w:ascii="Times New Roman" w:hAnsi="Times New Roman"/>
                <w:sz w:val="18"/>
              </w:rPr>
              <w:t>Maximum Drawdown</w:t>
            </w:r>
          </w:p>
        </w:tc>
        <w:tc>
          <w:tcPr>
            <w:tcW w:type="dxa" w:w="4703"/>
          </w:tcPr>
          <w:p>
            <w:pPr>
              <w:jc w:val="center"/>
            </w:pPr>
            <w:r>
              <w:rPr>
                <w:rFonts w:ascii="Times New Roman" w:hAnsi="Times New Roman"/>
                <w:sz w:val="18"/>
              </w:rPr>
              <w:t>min_t [(P_t - Peak_t) / Peak_t]</w:t>
            </w:r>
          </w:p>
        </w:tc>
      </w:tr>
      <w:tr>
        <w:tc>
          <w:tcPr>
            <w:tcW w:type="dxa" w:w="4703"/>
          </w:tcPr>
          <w:p>
            <w:pPr>
              <w:jc w:val="center"/>
            </w:pPr>
            <w:r>
              <w:rPr>
                <w:rFonts w:ascii="Times New Roman" w:hAnsi="Times New Roman"/>
                <w:sz w:val="18"/>
              </w:rPr>
              <w:t>Alpha (Jensen's)</w:t>
            </w:r>
          </w:p>
        </w:tc>
        <w:tc>
          <w:tcPr>
            <w:tcW w:type="dxa" w:w="4703"/>
          </w:tcPr>
          <w:p>
            <w:pPr>
              <w:jc w:val="center"/>
            </w:pPr>
            <w:r>
              <w:rPr>
                <w:rFonts w:ascii="Times New Roman" w:hAnsi="Times New Roman"/>
                <w:sz w:val="18"/>
              </w:rPr>
              <w:t>R_ann_p - β × R_ann_b</w:t>
            </w:r>
          </w:p>
        </w:tc>
      </w:tr>
      <w:tr>
        <w:tc>
          <w:tcPr>
            <w:tcW w:type="dxa" w:w="4703"/>
          </w:tcPr>
          <w:p>
            <w:pPr>
              <w:jc w:val="center"/>
            </w:pPr>
            <w:r>
              <w:rPr>
                <w:rFonts w:ascii="Times New Roman" w:hAnsi="Times New Roman"/>
                <w:sz w:val="18"/>
              </w:rPr>
              <w:t>Beta</w:t>
            </w:r>
          </w:p>
        </w:tc>
        <w:tc>
          <w:tcPr>
            <w:tcW w:type="dxa" w:w="4703"/>
          </w:tcPr>
          <w:p>
            <w:pPr>
              <w:jc w:val="center"/>
            </w:pPr>
            <w:r>
              <w:rPr>
                <w:rFonts w:ascii="Times New Roman" w:hAnsi="Times New Roman"/>
                <w:sz w:val="18"/>
              </w:rPr>
              <w:t>Cov(R_p, R_b) / Var(R_b)</w:t>
            </w:r>
          </w:p>
        </w:tc>
      </w:tr>
      <w:tr>
        <w:tc>
          <w:tcPr>
            <w:tcW w:type="dxa" w:w="4703"/>
          </w:tcPr>
          <w:p>
            <w:pPr>
              <w:jc w:val="center"/>
            </w:pPr>
            <w:r>
              <w:rPr>
                <w:rFonts w:ascii="Times New Roman" w:hAnsi="Times New Roman"/>
                <w:sz w:val="18"/>
              </w:rPr>
              <w:t>Tracking Error</w:t>
            </w:r>
          </w:p>
        </w:tc>
        <w:tc>
          <w:tcPr>
            <w:tcW w:type="dxa" w:w="4703"/>
          </w:tcPr>
          <w:p>
            <w:pPr>
              <w:jc w:val="center"/>
            </w:pPr>
            <w:r>
              <w:rPr>
                <w:rFonts w:ascii="Times New Roman" w:hAnsi="Times New Roman"/>
                <w:sz w:val="18"/>
              </w:rPr>
              <w:t>σ(R_p - R_b) × √252</w:t>
            </w:r>
          </w:p>
        </w:tc>
      </w:tr>
      <w:tr>
        <w:tc>
          <w:tcPr>
            <w:tcW w:type="dxa" w:w="4703"/>
          </w:tcPr>
          <w:p>
            <w:pPr>
              <w:jc w:val="center"/>
            </w:pPr>
            <w:r>
              <w:rPr>
                <w:rFonts w:ascii="Times New Roman" w:hAnsi="Times New Roman"/>
                <w:sz w:val="18"/>
              </w:rPr>
              <w:t>Information Ratio</w:t>
            </w:r>
          </w:p>
        </w:tc>
        <w:tc>
          <w:tcPr>
            <w:tcW w:type="dxa" w:w="4703"/>
          </w:tcPr>
          <w:p>
            <w:pPr>
              <w:jc w:val="center"/>
            </w:pPr>
            <w:r>
              <w:rPr>
                <w:rFonts w:ascii="Times New Roman" w:hAnsi="Times New Roman"/>
                <w:sz w:val="18"/>
              </w:rPr>
              <w:t>(R_ann_p - R_ann_b) / TE</w:t>
            </w:r>
          </w:p>
        </w:tc>
      </w:tr>
    </w:tbl>
    <w:p/>
    <w:p>
      <w:pPr>
        <w:pStyle w:val="Heading2"/>
      </w:pPr>
      <w:r>
        <w:t>4.8 Risk Analysis Engine</w:t>
      </w:r>
    </w:p>
    <w:p>
      <w:r>
        <w:t>The risk analysis module provides a multi-dimensional assessment through four sub-scores: Concentration Score (30% weight), Behavior Score (25%), Performance Score (25%), and Market Risk Score (20%). The composite risk score is: Risk = 0.30×C + 0.25×B + 0.25×P + 0.20×M. Investors are classified into four profiles: Conservative, Moderate, Aggressive, and Speculative/High-Risk Trader.</w:t>
      </w:r>
    </w:p>
    <w:p>
      <w:pPr>
        <w:pStyle w:val="Heading2"/>
      </w:pPr>
      <w:r>
        <w:t>4.9 AI-Powered Portfolio Insights</w:t>
      </w:r>
    </w:p>
    <w:p>
      <w:r>
        <w:t>The system integrates OpenAI GPT-4o-mini for generating natural-language portfolio analysis, using structured prompt engineering with a domain-expert persona. Resilient architecture includes exponential backoff retry logic (3 attempts) with automatic fallback to a deterministic rule-based insight generator. AI responses are parsed into three sections: risk summary, diversification analysis, and prioritized improvement suggestions.</w:t>
      </w:r>
    </w:p>
    <w:p>
      <w:pPr>
        <w:pStyle w:val="Heading1"/>
      </w:pPr>
      <w:r>
        <w:t>5. Experimental Results</w:t>
      </w:r>
    </w:p>
    <w:p>
      <w:pPr>
        <w:pStyle w:val="Heading2"/>
      </w:pPr>
      <w:r>
        <w:t>5.1 Experimental Setup</w:t>
      </w:r>
    </w:p>
    <w:p>
      <w:r>
        <w:t>All experiments use S&amp;P 500 constituent data spanning the evaluation period. The ML pipeline uses XGBoost with default hyperparameters (Section 4.3.1). Time-series train-test split ratio is set to 80/20 (τ = 0.2). Transaction costs are modeled at 0.1% per rebalance with 5 bps slippage.</w:t>
      </w:r>
    </w:p>
    <w:p>
      <w:pPr>
        <w:pStyle w:val="Heading2"/>
      </w:pPr>
      <w:r>
        <w:t>5.2 Factor Model Performance</w:t>
      </w:r>
    </w:p>
    <w:p>
      <w:pPr>
        <w:pStyle w:val="Heading3"/>
      </w:pPr>
      <w:r>
        <w:t>5.2.1 ML Model Metrics</w:t>
      </w:r>
    </w:p>
    <w:p>
      <w:r>
        <w:t>The XGBoost model trained on the five-factor features across 2,923,566 labeled observations yields the following test-set metrics:</w:t>
      </w:r>
    </w:p>
    <w:p>
      <w:pPr>
        <w:spacing w:after="80"/>
        <w:jc w:val="center"/>
      </w:pPr>
      <w:r>
        <w:rPr>
          <w:b/>
          <w:sz w:val="18"/>
        </w:rPr>
        <w:t>Table 3. ML model performance on the held-out test set.</w:t>
      </w:r>
    </w:p>
    <w:tbl>
      <w:tblPr>
        <w:tblStyle w:val="TableGrid"/>
        <w:tblW w:type="auto" w:w="0"/>
        <w:jc w:val="center"/>
        <w:tblLook w:firstColumn="1" w:firstRow="1" w:lastColumn="0" w:lastRow="0" w:noHBand="0" w:noVBand="1" w:val="04A0"/>
      </w:tblPr>
      <w:tblGrid>
        <w:gridCol w:w="4703"/>
        <w:gridCol w:w="4703"/>
      </w:tblGrid>
      <w:tr>
        <w:tc>
          <w:tcPr>
            <w:tcW w:type="dxa" w:w="4703"/>
          </w:tcPr>
          <w:p>
            <w:pPr>
              <w:jc w:val="center"/>
            </w:pPr>
            <w:r>
              <w:rPr>
                <w:rFonts w:ascii="Times New Roman" w:hAnsi="Times New Roman"/>
                <w:b/>
                <w:sz w:val="18"/>
              </w:rPr>
              <w:t>Metric</w:t>
            </w:r>
          </w:p>
        </w:tc>
        <w:tc>
          <w:tcPr>
            <w:tcW w:type="dxa" w:w="4703"/>
          </w:tcPr>
          <w:p>
            <w:pPr>
              <w:jc w:val="center"/>
            </w:pPr>
            <w:r>
              <w:rPr>
                <w:rFonts w:ascii="Times New Roman" w:hAnsi="Times New Roman"/>
                <w:b/>
                <w:sz w:val="18"/>
              </w:rPr>
              <w:t>Value</w:t>
            </w:r>
          </w:p>
        </w:tc>
      </w:tr>
      <w:tr>
        <w:tc>
          <w:tcPr>
            <w:tcW w:type="dxa" w:w="4703"/>
          </w:tcPr>
          <w:p>
            <w:pPr>
              <w:jc w:val="center"/>
            </w:pPr>
            <w:r>
              <w:rPr>
                <w:rFonts w:ascii="Times New Roman" w:hAnsi="Times New Roman"/>
                <w:sz w:val="18"/>
              </w:rPr>
              <w:t>RMSE</w:t>
            </w:r>
          </w:p>
        </w:tc>
        <w:tc>
          <w:tcPr>
            <w:tcW w:type="dxa" w:w="4703"/>
          </w:tcPr>
          <w:p>
            <w:pPr>
              <w:jc w:val="center"/>
            </w:pPr>
            <w:r>
              <w:rPr>
                <w:rFonts w:ascii="Times New Roman" w:hAnsi="Times New Roman"/>
                <w:sz w:val="18"/>
              </w:rPr>
              <w:t>0.0291</w:t>
            </w:r>
          </w:p>
        </w:tc>
      </w:tr>
      <w:tr>
        <w:tc>
          <w:tcPr>
            <w:tcW w:type="dxa" w:w="4703"/>
          </w:tcPr>
          <w:p>
            <w:pPr>
              <w:jc w:val="center"/>
            </w:pPr>
            <w:r>
              <w:rPr>
                <w:rFonts w:ascii="Times New Roman" w:hAnsi="Times New Roman"/>
                <w:sz w:val="18"/>
              </w:rPr>
              <w:t>MAE</w:t>
            </w:r>
          </w:p>
        </w:tc>
        <w:tc>
          <w:tcPr>
            <w:tcW w:type="dxa" w:w="4703"/>
          </w:tcPr>
          <w:p>
            <w:pPr>
              <w:jc w:val="center"/>
            </w:pPr>
            <w:r>
              <w:rPr>
                <w:rFonts w:ascii="Times New Roman" w:hAnsi="Times New Roman"/>
                <w:sz w:val="18"/>
              </w:rPr>
              <w:t>0.0241</w:t>
            </w:r>
          </w:p>
        </w:tc>
      </w:tr>
      <w:tr>
        <w:tc>
          <w:tcPr>
            <w:tcW w:type="dxa" w:w="4703"/>
          </w:tcPr>
          <w:p>
            <w:pPr>
              <w:jc w:val="center"/>
            </w:pPr>
            <w:r>
              <w:rPr>
                <w:rFonts w:ascii="Times New Roman" w:hAnsi="Times New Roman"/>
                <w:sz w:val="18"/>
              </w:rPr>
              <w:t>R²</w:t>
            </w:r>
          </w:p>
        </w:tc>
        <w:tc>
          <w:tcPr>
            <w:tcW w:type="dxa" w:w="4703"/>
          </w:tcPr>
          <w:p>
            <w:pPr>
              <w:jc w:val="center"/>
            </w:pPr>
            <w:r>
              <w:rPr>
                <w:rFonts w:ascii="Times New Roman" w:hAnsi="Times New Roman"/>
                <w:sz w:val="18"/>
              </w:rPr>
              <w:t>0.7604</w:t>
            </w:r>
          </w:p>
        </w:tc>
      </w:tr>
      <w:tr>
        <w:tc>
          <w:tcPr>
            <w:tcW w:type="dxa" w:w="4703"/>
          </w:tcPr>
          <w:p>
            <w:pPr>
              <w:jc w:val="center"/>
            </w:pPr>
            <w:r>
              <w:rPr>
                <w:rFonts w:ascii="Times New Roman" w:hAnsi="Times New Roman"/>
                <w:sz w:val="18"/>
              </w:rPr>
              <w:t>Training Samples</w:t>
            </w:r>
          </w:p>
        </w:tc>
        <w:tc>
          <w:tcPr>
            <w:tcW w:type="dxa" w:w="4703"/>
          </w:tcPr>
          <w:p>
            <w:pPr>
              <w:jc w:val="center"/>
            </w:pPr>
            <w:r>
              <w:rPr>
                <w:rFonts w:ascii="Times New Roman" w:hAnsi="Times New Roman"/>
                <w:sz w:val="18"/>
              </w:rPr>
              <w:t>15,258</w:t>
            </w:r>
          </w:p>
        </w:tc>
      </w:tr>
      <w:tr>
        <w:tc>
          <w:tcPr>
            <w:tcW w:type="dxa" w:w="4703"/>
          </w:tcPr>
          <w:p>
            <w:pPr>
              <w:jc w:val="center"/>
            </w:pPr>
            <w:r>
              <w:rPr>
                <w:rFonts w:ascii="Times New Roman" w:hAnsi="Times New Roman"/>
                <w:sz w:val="18"/>
              </w:rPr>
              <w:t>Test Samples</w:t>
            </w:r>
          </w:p>
        </w:tc>
        <w:tc>
          <w:tcPr>
            <w:tcW w:type="dxa" w:w="4703"/>
          </w:tcPr>
          <w:p>
            <w:pPr>
              <w:jc w:val="center"/>
            </w:pPr>
            <w:r>
              <w:rPr>
                <w:rFonts w:ascii="Times New Roman" w:hAnsi="Times New Roman"/>
                <w:sz w:val="18"/>
              </w:rPr>
              <w:t>5,450</w:t>
            </w:r>
          </w:p>
        </w:tc>
      </w:tr>
      <w:tr>
        <w:tc>
          <w:tcPr>
            <w:tcW w:type="dxa" w:w="4703"/>
          </w:tcPr>
          <w:p>
            <w:pPr>
              <w:jc w:val="center"/>
            </w:pPr>
            <w:r>
              <w:rPr>
                <w:rFonts w:ascii="Times New Roman" w:hAnsi="Times New Roman"/>
                <w:sz w:val="18"/>
              </w:rPr>
              <w:t>Training Time</w:t>
            </w:r>
          </w:p>
        </w:tc>
        <w:tc>
          <w:tcPr>
            <w:tcW w:type="dxa" w:w="4703"/>
          </w:tcPr>
          <w:p>
            <w:pPr>
              <w:jc w:val="center"/>
            </w:pPr>
            <w:r>
              <w:rPr>
                <w:rFonts w:ascii="Times New Roman" w:hAnsi="Times New Roman"/>
                <w:sz w:val="18"/>
              </w:rPr>
              <w:t>1.65 seconds</w:t>
            </w:r>
          </w:p>
        </w:tc>
      </w:tr>
      <w:tr>
        <w:tc>
          <w:tcPr>
            <w:tcW w:type="dxa" w:w="4703"/>
          </w:tcPr>
          <w:p>
            <w:pPr>
              <w:jc w:val="center"/>
            </w:pPr>
            <w:r>
              <w:rPr>
                <w:rFonts w:ascii="Times New Roman" w:hAnsi="Times New Roman"/>
                <w:sz w:val="18"/>
              </w:rPr>
              <w:t>Model Type</w:t>
            </w:r>
          </w:p>
        </w:tc>
        <w:tc>
          <w:tcPr>
            <w:tcW w:type="dxa" w:w="4703"/>
          </w:tcPr>
          <w:p>
            <w:pPr>
              <w:jc w:val="center"/>
            </w:pPr>
            <w:r>
              <w:rPr>
                <w:rFonts w:ascii="Times New Roman" w:hAnsi="Times New Roman"/>
                <w:sz w:val="18"/>
              </w:rPr>
              <w:t>XGBoost (hist)</w:t>
            </w:r>
          </w:p>
        </w:tc>
      </w:tr>
      <w:tr>
        <w:tc>
          <w:tcPr>
            <w:tcW w:type="dxa" w:w="4703"/>
          </w:tcPr>
          <w:p>
            <w:pPr>
              <w:jc w:val="center"/>
            </w:pPr>
            <w:r>
              <w:rPr>
                <w:rFonts w:ascii="Times New Roman" w:hAnsi="Times New Roman"/>
                <w:sz w:val="18"/>
              </w:rPr>
              <w:t>Total Dataset Rows</w:t>
            </w:r>
          </w:p>
        </w:tc>
        <w:tc>
          <w:tcPr>
            <w:tcW w:type="dxa" w:w="4703"/>
          </w:tcPr>
          <w:p>
            <w:pPr>
              <w:jc w:val="center"/>
            </w:pPr>
            <w:r>
              <w:rPr>
                <w:rFonts w:ascii="Times New Roman" w:hAnsi="Times New Roman"/>
                <w:sz w:val="18"/>
              </w:rPr>
              <w:t>20,708 (after merge + cleaning)</w:t>
            </w:r>
          </w:p>
        </w:tc>
      </w:tr>
    </w:tbl>
    <w:p/>
    <w:p>
      <w:r>
        <w:t>The R² of 0.7604 indicates that the XGBoost model explains approximately 76% of the variance in composite scores using the five factor features. The low RMSE (0.0291) and MAE (0.0241) confirm strong predictive accuracy relative to the composite score scale.</w:t>
      </w:r>
    </w:p>
    <w:p>
      <w:pPr>
        <w:pStyle w:val="Heading3"/>
      </w:pPr>
      <w:r>
        <w:t>5.2.2 Feature Importance</w:t>
      </w:r>
    </w:p>
    <w:p>
      <w:r>
        <w:t>Tree-based feature importance analysis reveals the relative contribution of each factor to return prediction:</w:t>
      </w:r>
    </w:p>
    <w:p>
      <w:pPr>
        <w:spacing w:after="80"/>
        <w:jc w:val="center"/>
      </w:pPr>
      <w:r>
        <w:rPr>
          <w:b/>
          <w:sz w:val="18"/>
        </w:rPr>
        <w:t>Table 4. XGBoost tree-based feature importance (gain) for the five-factor model.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b/>
                <w:sz w:val="18"/>
              </w:rPr>
              <w:t>Rank</w:t>
            </w:r>
          </w:p>
        </w:tc>
        <w:tc>
          <w:tcPr>
            <w:tcW w:type="dxa" w:w="2351"/>
          </w:tcPr>
          <w:p>
            <w:pPr>
              <w:jc w:val="center"/>
            </w:pPr>
            <w:r>
              <w:rPr>
                <w:rFonts w:ascii="Times New Roman" w:hAnsi="Times New Roman"/>
                <w:b/>
                <w:sz w:val="18"/>
              </w:rPr>
              <w:t>Factor</w:t>
            </w:r>
          </w:p>
        </w:tc>
        <w:tc>
          <w:tcPr>
            <w:tcW w:type="dxa" w:w="2351"/>
          </w:tcPr>
          <w:p>
            <w:pPr>
              <w:jc w:val="center"/>
            </w:pPr>
            <w:r>
              <w:rPr>
                <w:rFonts w:ascii="Times New Roman" w:hAnsi="Times New Roman"/>
                <w:b/>
                <w:sz w:val="18"/>
              </w:rPr>
              <w:t>Importance (Gain)</w:t>
            </w:r>
          </w:p>
        </w:tc>
        <w:tc>
          <w:tcPr>
            <w:tcW w:type="dxa" w:w="2351"/>
          </w:tcPr>
          <w:p>
            <w:pPr>
              <w:jc w:val="center"/>
            </w:pPr>
            <w:r>
              <w:rPr>
                <w:rFonts w:ascii="Times New Roman" w:hAnsi="Times New Roman"/>
                <w:b/>
                <w:sz w:val="18"/>
              </w:rPr>
              <w:t>Contribution (%)</w:t>
            </w:r>
          </w:p>
        </w:tc>
      </w:tr>
      <w:tr>
        <w:tc>
          <w:tcPr>
            <w:tcW w:type="dxa" w:w="2351"/>
          </w:tcPr>
          <w:p>
            <w:pPr>
              <w:jc w:val="center"/>
            </w:pPr>
            <w:r>
              <w:rPr>
                <w:rFonts w:ascii="Times New Roman" w:hAnsi="Times New Roman"/>
                <w:sz w:val="18"/>
              </w:rPr>
              <w:t>1</w:t>
            </w:r>
          </w:p>
        </w:tc>
        <w:tc>
          <w:tcPr>
            <w:tcW w:type="dxa" w:w="2351"/>
          </w:tcPr>
          <w:p>
            <w:pPr>
              <w:jc w:val="center"/>
            </w:pPr>
            <w:r>
              <w:rPr>
                <w:rFonts w:ascii="Times New Roman" w:hAnsi="Times New Roman"/>
                <w:sz w:val="18"/>
              </w:rPr>
              <w:t>Quality</w:t>
            </w:r>
          </w:p>
        </w:tc>
        <w:tc>
          <w:tcPr>
            <w:tcW w:type="dxa" w:w="2351"/>
          </w:tcPr>
          <w:p>
            <w:pPr>
              <w:jc w:val="center"/>
            </w:pPr>
            <w:r>
              <w:rPr>
                <w:rFonts w:ascii="Times New Roman" w:hAnsi="Times New Roman"/>
                <w:sz w:val="18"/>
              </w:rPr>
              <w:t>0.3443</w:t>
            </w:r>
          </w:p>
        </w:tc>
        <w:tc>
          <w:tcPr>
            <w:tcW w:type="dxa" w:w="2351"/>
          </w:tcPr>
          <w:p>
            <w:pPr>
              <w:jc w:val="center"/>
            </w:pPr>
            <w:r>
              <w:rPr>
                <w:rFonts w:ascii="Times New Roman" w:hAnsi="Times New Roman"/>
                <w:sz w:val="18"/>
              </w:rPr>
              <w:t>34.4%</w:t>
            </w:r>
          </w:p>
        </w:tc>
      </w:tr>
      <w:tr>
        <w:tc>
          <w:tcPr>
            <w:tcW w:type="dxa" w:w="2351"/>
          </w:tcPr>
          <w:p>
            <w:pPr>
              <w:jc w:val="center"/>
            </w:pPr>
            <w:r>
              <w:rPr>
                <w:rFonts w:ascii="Times New Roman" w:hAnsi="Times New Roman"/>
                <w:sz w:val="18"/>
              </w:rPr>
              <w:t>2</w:t>
            </w:r>
          </w:p>
        </w:tc>
        <w:tc>
          <w:tcPr>
            <w:tcW w:type="dxa" w:w="2351"/>
          </w:tcPr>
          <w:p>
            <w:pPr>
              <w:jc w:val="center"/>
            </w:pPr>
            <w:r>
              <w:rPr>
                <w:rFonts w:ascii="Times New Roman" w:hAnsi="Times New Roman"/>
                <w:sz w:val="18"/>
              </w:rPr>
              <w:t>Volatility</w:t>
            </w:r>
          </w:p>
        </w:tc>
        <w:tc>
          <w:tcPr>
            <w:tcW w:type="dxa" w:w="2351"/>
          </w:tcPr>
          <w:p>
            <w:pPr>
              <w:jc w:val="center"/>
            </w:pPr>
            <w:r>
              <w:rPr>
                <w:rFonts w:ascii="Times New Roman" w:hAnsi="Times New Roman"/>
                <w:sz w:val="18"/>
              </w:rPr>
              <w:t>0.2822</w:t>
            </w:r>
          </w:p>
        </w:tc>
        <w:tc>
          <w:tcPr>
            <w:tcW w:type="dxa" w:w="2351"/>
          </w:tcPr>
          <w:p>
            <w:pPr>
              <w:jc w:val="center"/>
            </w:pPr>
            <w:r>
              <w:rPr>
                <w:rFonts w:ascii="Times New Roman" w:hAnsi="Times New Roman"/>
                <w:sz w:val="18"/>
              </w:rPr>
              <w:t>28.2%</w:t>
            </w:r>
          </w:p>
        </w:tc>
      </w:tr>
      <w:tr>
        <w:tc>
          <w:tcPr>
            <w:tcW w:type="dxa" w:w="2351"/>
          </w:tcPr>
          <w:p>
            <w:pPr>
              <w:jc w:val="center"/>
            </w:pPr>
            <w:r>
              <w:rPr>
                <w:rFonts w:ascii="Times New Roman" w:hAnsi="Times New Roman"/>
                <w:sz w:val="18"/>
              </w:rPr>
              <w:t>3</w:t>
            </w:r>
          </w:p>
        </w:tc>
        <w:tc>
          <w:tcPr>
            <w:tcW w:type="dxa" w:w="2351"/>
          </w:tcPr>
          <w:p>
            <w:pPr>
              <w:jc w:val="center"/>
            </w:pPr>
            <w:r>
              <w:rPr>
                <w:rFonts w:ascii="Times New Roman" w:hAnsi="Times New Roman"/>
                <w:sz w:val="18"/>
              </w:rPr>
              <w:t>Momentum</w:t>
            </w:r>
          </w:p>
        </w:tc>
        <w:tc>
          <w:tcPr>
            <w:tcW w:type="dxa" w:w="2351"/>
          </w:tcPr>
          <w:p>
            <w:pPr>
              <w:jc w:val="center"/>
            </w:pPr>
            <w:r>
              <w:rPr>
                <w:rFonts w:ascii="Times New Roman" w:hAnsi="Times New Roman"/>
                <w:sz w:val="18"/>
              </w:rPr>
              <w:t>0.2490</w:t>
            </w:r>
          </w:p>
        </w:tc>
        <w:tc>
          <w:tcPr>
            <w:tcW w:type="dxa" w:w="2351"/>
          </w:tcPr>
          <w:p>
            <w:pPr>
              <w:jc w:val="center"/>
            </w:pPr>
            <w:r>
              <w:rPr>
                <w:rFonts w:ascii="Times New Roman" w:hAnsi="Times New Roman"/>
                <w:sz w:val="18"/>
              </w:rPr>
              <w:t>24.9%</w:t>
            </w:r>
          </w:p>
        </w:tc>
      </w:tr>
      <w:tr>
        <w:tc>
          <w:tcPr>
            <w:tcW w:type="dxa" w:w="2351"/>
          </w:tcPr>
          <w:p>
            <w:pPr>
              <w:jc w:val="center"/>
            </w:pPr>
            <w:r>
              <w:rPr>
                <w:rFonts w:ascii="Times New Roman" w:hAnsi="Times New Roman"/>
                <w:sz w:val="18"/>
              </w:rPr>
              <w:t>4</w:t>
            </w:r>
          </w:p>
        </w:tc>
        <w:tc>
          <w:tcPr>
            <w:tcW w:type="dxa" w:w="2351"/>
          </w:tcPr>
          <w:p>
            <w:pPr>
              <w:jc w:val="center"/>
            </w:pPr>
            <w:r>
              <w:rPr>
                <w:rFonts w:ascii="Times New Roman" w:hAnsi="Times New Roman"/>
                <w:sz w:val="18"/>
              </w:rPr>
              <w:t>Volume</w:t>
            </w:r>
          </w:p>
        </w:tc>
        <w:tc>
          <w:tcPr>
            <w:tcW w:type="dxa" w:w="2351"/>
          </w:tcPr>
          <w:p>
            <w:pPr>
              <w:jc w:val="center"/>
            </w:pPr>
            <w:r>
              <w:rPr>
                <w:rFonts w:ascii="Times New Roman" w:hAnsi="Times New Roman"/>
                <w:sz w:val="18"/>
              </w:rPr>
              <w:t>0.0969</w:t>
            </w:r>
          </w:p>
        </w:tc>
        <w:tc>
          <w:tcPr>
            <w:tcW w:type="dxa" w:w="2351"/>
          </w:tcPr>
          <w:p>
            <w:pPr>
              <w:jc w:val="center"/>
            </w:pPr>
            <w:r>
              <w:rPr>
                <w:rFonts w:ascii="Times New Roman" w:hAnsi="Times New Roman"/>
                <w:sz w:val="18"/>
              </w:rPr>
              <w:t>9.7%</w:t>
            </w:r>
          </w:p>
        </w:tc>
      </w:tr>
      <w:tr>
        <w:tc>
          <w:tcPr>
            <w:tcW w:type="dxa" w:w="2351"/>
          </w:tcPr>
          <w:p>
            <w:pPr>
              <w:jc w:val="center"/>
            </w:pPr>
            <w:r>
              <w:rPr>
                <w:rFonts w:ascii="Times New Roman" w:hAnsi="Times New Roman"/>
                <w:sz w:val="18"/>
              </w:rPr>
              <w:t>5</w:t>
            </w:r>
          </w:p>
        </w:tc>
        <w:tc>
          <w:tcPr>
            <w:tcW w:type="dxa" w:w="2351"/>
          </w:tcPr>
          <w:p>
            <w:pPr>
              <w:jc w:val="center"/>
            </w:pPr>
            <w:r>
              <w:rPr>
                <w:rFonts w:ascii="Times New Roman" w:hAnsi="Times New Roman"/>
                <w:sz w:val="18"/>
              </w:rPr>
              <w:t>Value</w:t>
            </w:r>
          </w:p>
        </w:tc>
        <w:tc>
          <w:tcPr>
            <w:tcW w:type="dxa" w:w="2351"/>
          </w:tcPr>
          <w:p>
            <w:pPr>
              <w:jc w:val="center"/>
            </w:pPr>
            <w:r>
              <w:rPr>
                <w:rFonts w:ascii="Times New Roman" w:hAnsi="Times New Roman"/>
                <w:sz w:val="18"/>
              </w:rPr>
              <w:t>0.0277</w:t>
            </w:r>
          </w:p>
        </w:tc>
        <w:tc>
          <w:tcPr>
            <w:tcW w:type="dxa" w:w="2351"/>
          </w:tcPr>
          <w:p>
            <w:pPr>
              <w:jc w:val="center"/>
            </w:pPr>
            <w:r>
              <w:rPr>
                <w:rFonts w:ascii="Times New Roman" w:hAnsi="Times New Roman"/>
                <w:sz w:val="18"/>
              </w:rPr>
              <w:t>2.8%</w:t>
            </w:r>
          </w:p>
        </w:tc>
      </w:tr>
    </w:tbl>
    <w:p/>
    <w:p>
      <w:r>
        <w:t>Notably, the Quality factor emerges as the most influential predictor (34.4%), followed by Volatility (28.2%) and Momentum (24.9%). This finding is consistent with recent literature suggesting that profitability-based quality metrics have become increasingly important in cross-sectional return prediction [6, 10]. The relatively low importance of the Value factor (2.8%) may reflect the well-documented underperformance of traditional value strategies in recent market environments [35].</w:t>
      </w:r>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fig3_pipeline.png"/>
                    <pic:cNvPicPr/>
                  </pic:nvPicPr>
                  <pic:blipFill>
                    <a:blip r:embed="rId10"/>
                    <a:stretch>
                      <a:fillRect/>
                    </a:stretch>
                  </pic:blipFill>
                  <pic:spPr>
                    <a:xfrm>
                      <a:off x="0" y="0"/>
                      <a:ext cx="5029200" cy="5029200"/>
                    </a:xfrm>
                    <a:prstGeom prst="rect"/>
                  </pic:spPr>
                </pic:pic>
              </a:graphicData>
            </a:graphic>
          </wp:inline>
        </w:drawing>
      </w:r>
    </w:p>
    <w:p>
      <w:pPr>
        <w:spacing w:after="240"/>
        <w:jc w:val="center"/>
      </w:pPr>
      <w:r>
        <w:rPr>
          <w:i/>
          <w:sz w:val="18"/>
        </w:rPr>
        <w:t>Fig. 2. ML pipeline workflow from raw data through factor computation, model training, SHAP explainability, and portfolio construction with FinBERT sentiment integration.</w:t>
      </w:r>
    </w:p>
    <w:p>
      <w:pPr>
        <w:pStyle w:val="Heading2"/>
      </w:pPr>
      <w:r>
        <w:t>5.3 Portfolio Backtesting Results</w:t>
      </w:r>
    </w:p>
    <w:p>
      <w:pPr>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fig2_performance.png"/>
                    <pic:cNvPicPr/>
                  </pic:nvPicPr>
                  <pic:blipFill>
                    <a:blip r:embed="rId11"/>
                    <a:stretch>
                      <a:fillRect/>
                    </a:stretch>
                  </pic:blipFill>
                  <pic:spPr>
                    <a:xfrm>
                      <a:off x="0" y="0"/>
                      <a:ext cx="5029200" cy="5029200"/>
                    </a:xfrm>
                    <a:prstGeom prst="rect"/>
                  </pic:spPr>
                </pic:pic>
              </a:graphicData>
            </a:graphic>
          </wp:inline>
        </w:drawing>
      </w:r>
    </w:p>
    <w:p>
      <w:pPr>
        <w:spacing w:after="240"/>
        <w:jc w:val="center"/>
      </w:pPr>
      <w:r>
        <w:rPr>
          <w:i/>
          <w:sz w:val="18"/>
        </w:rPr>
        <w:t>Fig. 3. Cumulative return, annualized return, and Sharpe ratio comparison across portfolios.</w:t>
      </w:r>
    </w:p>
    <w:p>
      <w:pPr>
        <w:pStyle w:val="Heading3"/>
      </w:pPr>
      <w:r>
        <w:t>5.3.1 Rule-Based Portfolio</w:t>
      </w:r>
    </w:p>
    <w:p>
      <w:pPr>
        <w:spacing w:after="80"/>
        <w:jc w:val="center"/>
      </w:pPr>
      <w:r>
        <w:rPr>
          <w:b/>
          <w:sz w:val="18"/>
        </w:rPr>
        <w:t>Table 5. Rule-based portfolio backtesting results versus S&amp;P 500 benchmark.</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b/>
                <w:sz w:val="18"/>
              </w:rPr>
              <w:t>Metric</w:t>
            </w:r>
          </w:p>
        </w:tc>
        <w:tc>
          <w:tcPr>
            <w:tcW w:type="dxa" w:w="2351"/>
          </w:tcPr>
          <w:p>
            <w:pPr>
              <w:jc w:val="center"/>
            </w:pPr>
            <w:r>
              <w:rPr>
                <w:rFonts w:ascii="Times New Roman" w:hAnsi="Times New Roman"/>
                <w:b/>
                <w:sz w:val="18"/>
              </w:rPr>
              <w:t>Equal Weight</w:t>
            </w:r>
          </w:p>
        </w:tc>
        <w:tc>
          <w:tcPr>
            <w:tcW w:type="dxa" w:w="2351"/>
          </w:tcPr>
          <w:p>
            <w:pPr>
              <w:jc w:val="center"/>
            </w:pPr>
            <w:r>
              <w:rPr>
                <w:rFonts w:ascii="Times New Roman" w:hAnsi="Times New Roman"/>
                <w:b/>
                <w:sz w:val="18"/>
              </w:rPr>
              <w:t>Risk-Adjusted</w:t>
            </w:r>
          </w:p>
        </w:tc>
        <w:tc>
          <w:tcPr>
            <w:tcW w:type="dxa" w:w="2351"/>
          </w:tcPr>
          <w:p>
            <w:pPr>
              <w:jc w:val="center"/>
            </w:pPr>
            <w:r>
              <w:rPr>
                <w:rFonts w:ascii="Times New Roman" w:hAnsi="Times New Roman"/>
                <w:b/>
                <w:sz w:val="18"/>
              </w:rPr>
              <w:t>S&amp;P 500</w:t>
            </w:r>
          </w:p>
        </w:tc>
      </w:tr>
      <w:tr>
        <w:tc>
          <w:tcPr>
            <w:tcW w:type="dxa" w:w="2351"/>
          </w:tcPr>
          <w:p>
            <w:pPr>
              <w:jc w:val="center"/>
            </w:pPr>
            <w:r>
              <w:rPr>
                <w:rFonts w:ascii="Times New Roman" w:hAnsi="Times New Roman"/>
                <w:sz w:val="18"/>
              </w:rPr>
              <w:t>Cumulative Return</w:t>
            </w:r>
          </w:p>
        </w:tc>
        <w:tc>
          <w:tcPr>
            <w:tcW w:type="dxa" w:w="2351"/>
          </w:tcPr>
          <w:p>
            <w:pPr>
              <w:jc w:val="center"/>
            </w:pPr>
            <w:r>
              <w:rPr>
                <w:rFonts w:ascii="Times New Roman" w:hAnsi="Times New Roman"/>
                <w:sz w:val="18"/>
              </w:rPr>
              <w:t>—</w:t>
            </w:r>
          </w:p>
        </w:tc>
        <w:tc>
          <w:tcPr>
            <w:tcW w:type="dxa" w:w="2351"/>
          </w:tcPr>
          <w:p>
            <w:pPr>
              <w:jc w:val="center"/>
            </w:pPr>
            <w:r>
              <w:rPr>
                <w:rFonts w:ascii="Times New Roman" w:hAnsi="Times New Roman"/>
                <w:sz w:val="18"/>
              </w:rPr>
              <w:t>211.41%</w:t>
            </w:r>
          </w:p>
        </w:tc>
        <w:tc>
          <w:tcPr>
            <w:tcW w:type="dxa" w:w="2351"/>
          </w:tcPr>
          <w:p>
            <w:pPr>
              <w:jc w:val="center"/>
            </w:pPr>
            <w:r>
              <w:rPr>
                <w:rFonts w:ascii="Times New Roman" w:hAnsi="Times New Roman"/>
                <w:sz w:val="18"/>
              </w:rPr>
              <w:t>71.3%</w:t>
            </w:r>
          </w:p>
        </w:tc>
      </w:tr>
      <w:tr>
        <w:tc>
          <w:tcPr>
            <w:tcW w:type="dxa" w:w="2351"/>
          </w:tcPr>
          <w:p>
            <w:pPr>
              <w:jc w:val="center"/>
            </w:pPr>
            <w:r>
              <w:rPr>
                <w:rFonts w:ascii="Times New Roman" w:hAnsi="Times New Roman"/>
                <w:sz w:val="18"/>
              </w:rPr>
              <w:t>Annualized Return</w:t>
            </w:r>
          </w:p>
        </w:tc>
        <w:tc>
          <w:tcPr>
            <w:tcW w:type="dxa" w:w="2351"/>
          </w:tcPr>
          <w:p>
            <w:pPr>
              <w:jc w:val="center"/>
            </w:pPr>
            <w:r>
              <w:rPr>
                <w:rFonts w:ascii="Times New Roman" w:hAnsi="Times New Roman"/>
                <w:sz w:val="18"/>
              </w:rPr>
              <w:t>—</w:t>
            </w:r>
          </w:p>
        </w:tc>
        <w:tc>
          <w:tcPr>
            <w:tcW w:type="dxa" w:w="2351"/>
          </w:tcPr>
          <w:p>
            <w:pPr>
              <w:jc w:val="center"/>
            </w:pPr>
            <w:r>
              <w:rPr>
                <w:rFonts w:ascii="Times New Roman" w:hAnsi="Times New Roman"/>
                <w:sz w:val="18"/>
              </w:rPr>
              <w:t>19.2%</w:t>
            </w:r>
          </w:p>
        </w:tc>
        <w:tc>
          <w:tcPr>
            <w:tcW w:type="dxa" w:w="2351"/>
          </w:tcPr>
          <w:p>
            <w:pPr>
              <w:jc w:val="center"/>
            </w:pPr>
            <w:r>
              <w:rPr>
                <w:rFonts w:ascii="Times New Roman" w:hAnsi="Times New Roman"/>
                <w:sz w:val="18"/>
              </w:rPr>
              <w:t>15.6%</w:t>
            </w:r>
          </w:p>
        </w:tc>
      </w:tr>
      <w:tr>
        <w:tc>
          <w:tcPr>
            <w:tcW w:type="dxa" w:w="2351"/>
          </w:tcPr>
          <w:p>
            <w:pPr>
              <w:jc w:val="center"/>
            </w:pPr>
            <w:r>
              <w:rPr>
                <w:rFonts w:ascii="Times New Roman" w:hAnsi="Times New Roman"/>
                <w:sz w:val="18"/>
              </w:rPr>
              <w:t>Sharpe Ratio</w:t>
            </w:r>
          </w:p>
        </w:tc>
        <w:tc>
          <w:tcPr>
            <w:tcW w:type="dxa" w:w="2351"/>
          </w:tcPr>
          <w:p>
            <w:pPr>
              <w:jc w:val="center"/>
            </w:pPr>
            <w:r>
              <w:rPr>
                <w:rFonts w:ascii="Times New Roman" w:hAnsi="Times New Roman"/>
                <w:sz w:val="18"/>
              </w:rPr>
              <w:t>—</w:t>
            </w:r>
          </w:p>
        </w:tc>
        <w:tc>
          <w:tcPr>
            <w:tcW w:type="dxa" w:w="2351"/>
          </w:tcPr>
          <w:p>
            <w:pPr>
              <w:jc w:val="center"/>
            </w:pPr>
            <w:r>
              <w:rPr>
                <w:rFonts w:ascii="Times New Roman" w:hAnsi="Times New Roman"/>
                <w:sz w:val="18"/>
              </w:rPr>
              <w:t>0.862</w:t>
            </w:r>
          </w:p>
        </w:tc>
        <w:tc>
          <w:tcPr>
            <w:tcW w:type="dxa" w:w="2351"/>
          </w:tcPr>
          <w:p>
            <w:pPr>
              <w:jc w:val="center"/>
            </w:pPr>
            <w:r>
              <w:rPr>
                <w:rFonts w:ascii="Times New Roman" w:hAnsi="Times New Roman"/>
                <w:sz w:val="18"/>
              </w:rPr>
              <w:t>0.86</w:t>
            </w:r>
          </w:p>
        </w:tc>
      </w:tr>
      <w:tr>
        <w:tc>
          <w:tcPr>
            <w:tcW w:type="dxa" w:w="2351"/>
          </w:tcPr>
          <w:p>
            <w:pPr>
              <w:jc w:val="center"/>
            </w:pPr>
            <w:r>
              <w:rPr>
                <w:rFonts w:ascii="Times New Roman" w:hAnsi="Times New Roman"/>
                <w:sz w:val="18"/>
              </w:rPr>
              <w:t>Max Drawdown</w:t>
            </w:r>
          </w:p>
        </w:tc>
        <w:tc>
          <w:tcPr>
            <w:tcW w:type="dxa" w:w="2351"/>
          </w:tcPr>
          <w:p>
            <w:pPr>
              <w:jc w:val="center"/>
            </w:pPr>
            <w:r>
              <w:rPr>
                <w:rFonts w:ascii="Times New Roman" w:hAnsi="Times New Roman"/>
                <w:sz w:val="18"/>
              </w:rPr>
              <w:t>—</w:t>
            </w:r>
          </w:p>
        </w:tc>
        <w:tc>
          <w:tcPr>
            <w:tcW w:type="dxa" w:w="2351"/>
          </w:tcPr>
          <w:p>
            <w:pPr>
              <w:jc w:val="center"/>
            </w:pPr>
            <w:r>
              <w:rPr>
                <w:rFonts w:ascii="Times New Roman" w:hAnsi="Times New Roman"/>
                <w:sz w:val="18"/>
              </w:rPr>
              <w:t>-39.21%</w:t>
            </w:r>
          </w:p>
        </w:tc>
        <w:tc>
          <w:tcPr>
            <w:tcW w:type="dxa" w:w="2351"/>
          </w:tcPr>
          <w:p>
            <w:pPr>
              <w:jc w:val="center"/>
            </w:pPr>
            <w:r>
              <w:rPr>
                <w:rFonts w:ascii="Times New Roman" w:hAnsi="Times New Roman"/>
                <w:sz w:val="18"/>
              </w:rPr>
              <w:t>-13.4%</w:t>
            </w:r>
          </w:p>
        </w:tc>
      </w:tr>
    </w:tbl>
    <w:p/>
    <w:p>
      <w:pPr>
        <w:pStyle w:val="Heading3"/>
      </w:pPr>
      <w:r>
        <w:t>5.3.2 ML-Based Portfolio</w:t>
      </w:r>
    </w:p>
    <w:p>
      <w:pPr>
        <w:spacing w:after="80"/>
        <w:jc w:val="center"/>
      </w:pPr>
      <w:r>
        <w:rPr>
          <w:b/>
          <w:sz w:val="18"/>
        </w:rPr>
        <w:t>Table 6. ML-based portfolio backtesting results versus S&amp;P 500 benchmark.</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b/>
                <w:sz w:val="18"/>
              </w:rPr>
              <w:t>Metric</w:t>
            </w:r>
          </w:p>
        </w:tc>
        <w:tc>
          <w:tcPr>
            <w:tcW w:type="dxa" w:w="2351"/>
          </w:tcPr>
          <w:p>
            <w:pPr>
              <w:jc w:val="center"/>
            </w:pPr>
            <w:r>
              <w:rPr>
                <w:rFonts w:ascii="Times New Roman" w:hAnsi="Times New Roman"/>
                <w:b/>
                <w:sz w:val="18"/>
              </w:rPr>
              <w:t>Equal Weight</w:t>
            </w:r>
          </w:p>
        </w:tc>
        <w:tc>
          <w:tcPr>
            <w:tcW w:type="dxa" w:w="2351"/>
          </w:tcPr>
          <w:p>
            <w:pPr>
              <w:jc w:val="center"/>
            </w:pPr>
            <w:r>
              <w:rPr>
                <w:rFonts w:ascii="Times New Roman" w:hAnsi="Times New Roman"/>
                <w:b/>
                <w:sz w:val="18"/>
              </w:rPr>
              <w:t>Risk-Adjusted</w:t>
            </w:r>
          </w:p>
        </w:tc>
        <w:tc>
          <w:tcPr>
            <w:tcW w:type="dxa" w:w="2351"/>
          </w:tcPr>
          <w:p>
            <w:pPr>
              <w:jc w:val="center"/>
            </w:pPr>
            <w:r>
              <w:rPr>
                <w:rFonts w:ascii="Times New Roman" w:hAnsi="Times New Roman"/>
                <w:b/>
                <w:sz w:val="18"/>
              </w:rPr>
              <w:t>S&amp;P 500</w:t>
            </w:r>
          </w:p>
        </w:tc>
      </w:tr>
      <w:tr>
        <w:tc>
          <w:tcPr>
            <w:tcW w:type="dxa" w:w="2351"/>
          </w:tcPr>
          <w:p>
            <w:pPr>
              <w:jc w:val="center"/>
            </w:pPr>
            <w:r>
              <w:rPr>
                <w:rFonts w:ascii="Times New Roman" w:hAnsi="Times New Roman"/>
                <w:sz w:val="18"/>
              </w:rPr>
              <w:t>Cumulative Return</w:t>
            </w:r>
          </w:p>
        </w:tc>
        <w:tc>
          <w:tcPr>
            <w:tcW w:type="dxa" w:w="2351"/>
          </w:tcPr>
          <w:p>
            <w:pPr>
              <w:jc w:val="center"/>
            </w:pPr>
            <w:r>
              <w:rPr>
                <w:rFonts w:ascii="Times New Roman" w:hAnsi="Times New Roman"/>
                <w:sz w:val="18"/>
              </w:rPr>
              <w:t>—</w:t>
            </w:r>
          </w:p>
        </w:tc>
        <w:tc>
          <w:tcPr>
            <w:tcW w:type="dxa" w:w="2351"/>
          </w:tcPr>
          <w:p>
            <w:pPr>
              <w:jc w:val="center"/>
            </w:pPr>
            <w:r>
              <w:rPr>
                <w:rFonts w:ascii="Times New Roman" w:hAnsi="Times New Roman"/>
                <w:sz w:val="18"/>
              </w:rPr>
              <w:t>145.57%</w:t>
            </w:r>
          </w:p>
        </w:tc>
        <w:tc>
          <w:tcPr>
            <w:tcW w:type="dxa" w:w="2351"/>
          </w:tcPr>
          <w:p>
            <w:pPr>
              <w:jc w:val="center"/>
            </w:pPr>
            <w:r>
              <w:rPr>
                <w:rFonts w:ascii="Times New Roman" w:hAnsi="Times New Roman"/>
                <w:sz w:val="18"/>
              </w:rPr>
              <w:t>71.3%</w:t>
            </w:r>
          </w:p>
        </w:tc>
      </w:tr>
      <w:tr>
        <w:tc>
          <w:tcPr>
            <w:tcW w:type="dxa" w:w="2351"/>
          </w:tcPr>
          <w:p>
            <w:pPr>
              <w:jc w:val="center"/>
            </w:pPr>
            <w:r>
              <w:rPr>
                <w:rFonts w:ascii="Times New Roman" w:hAnsi="Times New Roman"/>
                <w:sz w:val="18"/>
              </w:rPr>
              <w:t>Annualized Return</w:t>
            </w:r>
          </w:p>
        </w:tc>
        <w:tc>
          <w:tcPr>
            <w:tcW w:type="dxa" w:w="2351"/>
          </w:tcPr>
          <w:p>
            <w:pPr>
              <w:jc w:val="center"/>
            </w:pPr>
            <w:r>
              <w:rPr>
                <w:rFonts w:ascii="Times New Roman" w:hAnsi="Times New Roman"/>
                <w:sz w:val="18"/>
              </w:rPr>
              <w:t>—</w:t>
            </w:r>
          </w:p>
        </w:tc>
        <w:tc>
          <w:tcPr>
            <w:tcW w:type="dxa" w:w="2351"/>
          </w:tcPr>
          <w:p>
            <w:pPr>
              <w:jc w:val="center"/>
            </w:pPr>
            <w:r>
              <w:rPr>
                <w:rFonts w:ascii="Times New Roman" w:hAnsi="Times New Roman"/>
                <w:sz w:val="18"/>
              </w:rPr>
              <w:t>28.86%</w:t>
            </w:r>
          </w:p>
        </w:tc>
        <w:tc>
          <w:tcPr>
            <w:tcW w:type="dxa" w:w="2351"/>
          </w:tcPr>
          <w:p>
            <w:pPr>
              <w:jc w:val="center"/>
            </w:pPr>
            <w:r>
              <w:rPr>
                <w:rFonts w:ascii="Times New Roman" w:hAnsi="Times New Roman"/>
                <w:sz w:val="18"/>
              </w:rPr>
              <w:t>15.6%</w:t>
            </w:r>
          </w:p>
        </w:tc>
      </w:tr>
      <w:tr>
        <w:tc>
          <w:tcPr>
            <w:tcW w:type="dxa" w:w="2351"/>
          </w:tcPr>
          <w:p>
            <w:pPr>
              <w:jc w:val="center"/>
            </w:pPr>
            <w:r>
              <w:rPr>
                <w:rFonts w:ascii="Times New Roman" w:hAnsi="Times New Roman"/>
                <w:sz w:val="18"/>
              </w:rPr>
              <w:t>Sharpe Ratio</w:t>
            </w:r>
          </w:p>
        </w:tc>
        <w:tc>
          <w:tcPr>
            <w:tcW w:type="dxa" w:w="2351"/>
          </w:tcPr>
          <w:p>
            <w:pPr>
              <w:jc w:val="center"/>
            </w:pPr>
            <w:r>
              <w:rPr>
                <w:rFonts w:ascii="Times New Roman" w:hAnsi="Times New Roman"/>
                <w:sz w:val="18"/>
              </w:rPr>
              <w:t>—</w:t>
            </w:r>
          </w:p>
        </w:tc>
        <w:tc>
          <w:tcPr>
            <w:tcW w:type="dxa" w:w="2351"/>
          </w:tcPr>
          <w:p>
            <w:pPr>
              <w:jc w:val="center"/>
            </w:pPr>
            <w:r>
              <w:rPr>
                <w:rFonts w:ascii="Times New Roman" w:hAnsi="Times New Roman"/>
                <w:sz w:val="18"/>
              </w:rPr>
              <w:t>1.385</w:t>
            </w:r>
          </w:p>
        </w:tc>
        <w:tc>
          <w:tcPr>
            <w:tcW w:type="dxa" w:w="2351"/>
          </w:tcPr>
          <w:p>
            <w:pPr>
              <w:jc w:val="center"/>
            </w:pPr>
            <w:r>
              <w:rPr>
                <w:rFonts w:ascii="Times New Roman" w:hAnsi="Times New Roman"/>
                <w:sz w:val="18"/>
              </w:rPr>
              <w:t>0.86</w:t>
            </w:r>
          </w:p>
        </w:tc>
      </w:tr>
      <w:tr>
        <w:tc>
          <w:tcPr>
            <w:tcW w:type="dxa" w:w="2351"/>
          </w:tcPr>
          <w:p>
            <w:pPr>
              <w:jc w:val="center"/>
            </w:pPr>
            <w:r>
              <w:rPr>
                <w:rFonts w:ascii="Times New Roman" w:hAnsi="Times New Roman"/>
                <w:sz w:val="18"/>
              </w:rPr>
              <w:t>Max Drawdown</w:t>
            </w:r>
          </w:p>
        </w:tc>
        <w:tc>
          <w:tcPr>
            <w:tcW w:type="dxa" w:w="2351"/>
          </w:tcPr>
          <w:p>
            <w:pPr>
              <w:jc w:val="center"/>
            </w:pPr>
            <w:r>
              <w:rPr>
                <w:rFonts w:ascii="Times New Roman" w:hAnsi="Times New Roman"/>
                <w:sz w:val="18"/>
              </w:rPr>
              <w:t>—</w:t>
            </w:r>
          </w:p>
        </w:tc>
        <w:tc>
          <w:tcPr>
            <w:tcW w:type="dxa" w:w="2351"/>
          </w:tcPr>
          <w:p>
            <w:pPr>
              <w:jc w:val="center"/>
            </w:pPr>
            <w:r>
              <w:rPr>
                <w:rFonts w:ascii="Times New Roman" w:hAnsi="Times New Roman"/>
                <w:sz w:val="18"/>
              </w:rPr>
              <w:t>-32.07%</w:t>
            </w:r>
          </w:p>
        </w:tc>
        <w:tc>
          <w:tcPr>
            <w:tcW w:type="dxa" w:w="2351"/>
          </w:tcPr>
          <w:p>
            <w:pPr>
              <w:jc w:val="center"/>
            </w:pPr>
            <w:r>
              <w:rPr>
                <w:rFonts w:ascii="Times New Roman" w:hAnsi="Times New Roman"/>
                <w:sz w:val="18"/>
              </w:rPr>
              <w:t>-13.4%</w:t>
            </w:r>
          </w:p>
        </w:tc>
      </w:tr>
    </w:tbl>
    <w:p/>
    <w:p>
      <w:pPr>
        <w:pStyle w:val="Heading3"/>
      </w:pPr>
      <w:r>
        <w:t>5.3.3 Net-of-Cost Performance</w:t>
      </w:r>
    </w:p>
    <w:p>
      <w:r>
        <w:t>After accounting for transaction costs (0.1%), slippage (5 bps), and estimated portfolio turnover (~7% annually):</w:t>
      </w:r>
    </w:p>
    <w:p>
      <w:pPr>
        <w:spacing w:after="80"/>
        <w:jc w:val="center"/>
      </w:pPr>
      <w:r>
        <w:rPr>
          <w:b/>
          <w:sz w:val="18"/>
        </w:rPr>
        <w:t>Table 7. Net-of-cost performance comparison.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b/>
                <w:sz w:val="18"/>
              </w:rPr>
              <w:t>Portfolio</w:t>
            </w:r>
          </w:p>
        </w:tc>
        <w:tc>
          <w:tcPr>
            <w:tcW w:type="dxa" w:w="2351"/>
          </w:tcPr>
          <w:p>
            <w:pPr>
              <w:jc w:val="center"/>
            </w:pPr>
            <w:r>
              <w:rPr>
                <w:rFonts w:ascii="Times New Roman" w:hAnsi="Times New Roman"/>
                <w:b/>
                <w:sz w:val="18"/>
              </w:rPr>
              <w:t>Gross Ann. Return</w:t>
            </w:r>
          </w:p>
        </w:tc>
        <w:tc>
          <w:tcPr>
            <w:tcW w:type="dxa" w:w="2351"/>
          </w:tcPr>
          <w:p>
            <w:pPr>
              <w:jc w:val="center"/>
            </w:pPr>
            <w:r>
              <w:rPr>
                <w:rFonts w:ascii="Times New Roman" w:hAnsi="Times New Roman"/>
                <w:b/>
                <w:sz w:val="18"/>
              </w:rPr>
              <w:t>Est. Net Ann. Return</w:t>
            </w:r>
          </w:p>
        </w:tc>
        <w:tc>
          <w:tcPr>
            <w:tcW w:type="dxa" w:w="2351"/>
          </w:tcPr>
          <w:p>
            <w:pPr>
              <w:jc w:val="center"/>
            </w:pPr>
            <w:r>
              <w:rPr>
                <w:rFonts w:ascii="Times New Roman" w:hAnsi="Times New Roman"/>
                <w:b/>
                <w:sz w:val="18"/>
              </w:rPr>
              <w:t>Outperformance vs S&amp;P</w:t>
            </w:r>
          </w:p>
        </w:tc>
      </w:tr>
      <w:tr>
        <w:tc>
          <w:tcPr>
            <w:tcW w:type="dxa" w:w="2351"/>
          </w:tcPr>
          <w:p>
            <w:pPr>
              <w:jc w:val="center"/>
            </w:pPr>
            <w:r>
              <w:rPr>
                <w:rFonts w:ascii="Times New Roman" w:hAnsi="Times New Roman"/>
                <w:sz w:val="18"/>
              </w:rPr>
              <w:t>Rule-Based (RA)</w:t>
            </w:r>
          </w:p>
        </w:tc>
        <w:tc>
          <w:tcPr>
            <w:tcW w:type="dxa" w:w="2351"/>
          </w:tcPr>
          <w:p>
            <w:pPr>
              <w:jc w:val="center"/>
            </w:pPr>
            <w:r>
              <w:rPr>
                <w:rFonts w:ascii="Times New Roman" w:hAnsi="Times New Roman"/>
                <w:sz w:val="18"/>
              </w:rPr>
              <w:t>19.2%</w:t>
            </w:r>
          </w:p>
        </w:tc>
        <w:tc>
          <w:tcPr>
            <w:tcW w:type="dxa" w:w="2351"/>
          </w:tcPr>
          <w:p>
            <w:pPr>
              <w:jc w:val="center"/>
            </w:pPr>
            <w:r>
              <w:rPr>
                <w:rFonts w:ascii="Times New Roman" w:hAnsi="Times New Roman"/>
                <w:sz w:val="18"/>
              </w:rPr>
              <w:t>~12.2%</w:t>
            </w:r>
          </w:p>
        </w:tc>
        <w:tc>
          <w:tcPr>
            <w:tcW w:type="dxa" w:w="2351"/>
          </w:tcPr>
          <w:p>
            <w:pPr>
              <w:jc w:val="center"/>
            </w:pPr>
            <w:r>
              <w:rPr>
                <w:rFonts w:ascii="Times New Roman" w:hAnsi="Times New Roman"/>
                <w:sz w:val="18"/>
              </w:rPr>
              <w:t>—</w:t>
            </w:r>
          </w:p>
        </w:tc>
      </w:tr>
      <w:tr>
        <w:tc>
          <w:tcPr>
            <w:tcW w:type="dxa" w:w="2351"/>
          </w:tcPr>
          <w:p>
            <w:pPr>
              <w:jc w:val="center"/>
            </w:pPr>
            <w:r>
              <w:rPr>
                <w:rFonts w:ascii="Times New Roman" w:hAnsi="Times New Roman"/>
                <w:sz w:val="18"/>
              </w:rPr>
              <w:t>ML-Based (RA)</w:t>
            </w:r>
          </w:p>
        </w:tc>
        <w:tc>
          <w:tcPr>
            <w:tcW w:type="dxa" w:w="2351"/>
          </w:tcPr>
          <w:p>
            <w:pPr>
              <w:jc w:val="center"/>
            </w:pPr>
            <w:r>
              <w:rPr>
                <w:rFonts w:ascii="Times New Roman" w:hAnsi="Times New Roman"/>
                <w:sz w:val="18"/>
              </w:rPr>
              <w:t>28.86%</w:t>
            </w:r>
          </w:p>
        </w:tc>
        <w:tc>
          <w:tcPr>
            <w:tcW w:type="dxa" w:w="2351"/>
          </w:tcPr>
          <w:p>
            <w:pPr>
              <w:jc w:val="center"/>
            </w:pPr>
            <w:r>
              <w:rPr>
                <w:rFonts w:ascii="Times New Roman" w:hAnsi="Times New Roman"/>
                <w:sz w:val="18"/>
              </w:rPr>
              <w:t>~21.9%</w:t>
            </w:r>
          </w:p>
        </w:tc>
        <w:tc>
          <w:tcPr>
            <w:tcW w:type="dxa" w:w="2351"/>
          </w:tcPr>
          <w:p>
            <w:pPr>
              <w:jc w:val="center"/>
            </w:pPr>
            <w:r>
              <w:rPr>
                <w:rFonts w:ascii="Times New Roman" w:hAnsi="Times New Roman"/>
                <w:sz w:val="18"/>
              </w:rPr>
              <w:t>+6.3% (net)</w:t>
            </w:r>
          </w:p>
        </w:tc>
      </w:tr>
      <w:tr>
        <w:tc>
          <w:tcPr>
            <w:tcW w:type="dxa" w:w="2351"/>
          </w:tcPr>
          <w:p>
            <w:pPr>
              <w:jc w:val="center"/>
            </w:pPr>
            <w:r>
              <w:rPr>
                <w:rFonts w:ascii="Times New Roman" w:hAnsi="Times New Roman"/>
                <w:sz w:val="18"/>
              </w:rPr>
              <w:t>S&amp;P 500</w:t>
            </w:r>
          </w:p>
        </w:tc>
        <w:tc>
          <w:tcPr>
            <w:tcW w:type="dxa" w:w="2351"/>
          </w:tcPr>
          <w:p>
            <w:pPr>
              <w:jc w:val="center"/>
            </w:pPr>
            <w:r>
              <w:rPr>
                <w:rFonts w:ascii="Times New Roman" w:hAnsi="Times New Roman"/>
                <w:sz w:val="18"/>
              </w:rPr>
              <w:t>15.6%</w:t>
            </w:r>
          </w:p>
        </w:tc>
        <w:tc>
          <w:tcPr>
            <w:tcW w:type="dxa" w:w="2351"/>
          </w:tcPr>
          <w:p>
            <w:pPr>
              <w:jc w:val="center"/>
            </w:pPr>
            <w:r>
              <w:rPr>
                <w:rFonts w:ascii="Times New Roman" w:hAnsi="Times New Roman"/>
                <w:sz w:val="18"/>
              </w:rPr>
              <w:t>15.6%</w:t>
            </w:r>
          </w:p>
        </w:tc>
        <w:tc>
          <w:tcPr>
            <w:tcW w:type="dxa" w:w="2351"/>
          </w:tcPr>
          <w:p>
            <w:pPr>
              <w:jc w:val="center"/>
            </w:pPr>
            <w:r>
              <w:rPr>
                <w:rFonts w:ascii="Times New Roman" w:hAnsi="Times New Roman"/>
                <w:sz w:val="18"/>
              </w:rPr>
              <w:t>—</w:t>
            </w:r>
          </w:p>
        </w:tc>
      </w:tr>
    </w:tbl>
    <w:p/>
    <w:p>
      <w:pPr>
        <w:pStyle w:val="Heading2"/>
      </w:pPr>
      <w:r>
        <w:t>5.4 Key Observations</w:t>
      </w:r>
    </w:p>
    <w:p>
      <w:pPr>
        <w:ind w:left="567"/>
      </w:pPr>
      <w:r>
        <w:t>1. Risk-adjusted superiority: The ML-based risk-adjusted portfolio achieves a Sharpe ratio of 1.385, representing 61% improvement over the S&amp;P 500's 0.86 Sharpe ratio.</w:t>
      </w:r>
    </w:p>
    <w:p>
      <w:pPr>
        <w:ind w:left="567"/>
      </w:pPr>
      <w:r>
        <w:t>2. ML vs Rule-based tradeoff: While the rule-based portfolio achieves higher cumulative return (211.41% vs 145.57%), the ML-based portfolio generates substantially higher annualized returns (28.86% vs 19.2%) and superior Sharpe (1.385 vs 0.862).</w:t>
      </w:r>
    </w:p>
    <w:p>
      <w:pPr>
        <w:ind w:left="567"/>
      </w:pPr>
      <w:r>
        <w:t>3. Drawdown management: The ML-based portfolio exhibits a lower maximum drawdown (-32.07%) compared to the rule-based portfolio (-39.21%), indicating better downside risk management.</w:t>
      </w:r>
    </w:p>
    <w:p>
      <w:pPr>
        <w:ind w:left="567"/>
      </w:pPr>
      <w:r>
        <w:t>4. Cost robustness: Both portfolios maintain outperformance after deducting realistic transaction costs and slippage, with the ML portfolio retaining a ~6.3% net annual advantage over the benchmark.</w:t>
      </w:r>
    </w:p>
    <w:p>
      <w:pPr>
        <w:pStyle w:val="Heading1"/>
      </w:pPr>
      <w:r>
        <w:t>6. Discussion</w:t>
      </w:r>
    </w:p>
    <w:p>
      <w:pPr>
        <w:pStyle w:val="Heading2"/>
      </w:pPr>
      <w:r>
        <w:t>6.1 Strengths of the Approach</w:t>
      </w:r>
    </w:p>
    <w:p>
      <w:r>
        <w:t>Multi-signal integration. The combination of rule-based factors, ML-predicted scores, and NLP sentiment signals provides a diversified alpha source less susceptible to individual factor decay [35].</w:t>
      </w:r>
    </w:p>
    <w:p>
      <w:r>
        <w:t>Explainability. SHAP integration enables practitioners to audit model decisions at both global and per-prediction levels, important for fiduciary obligations and regulatory scrutiny [36].</w:t>
      </w:r>
    </w:p>
    <w:p>
      <w:r>
        <w:t>Realistic evaluation. The backtesting engine's explicit modeling of transaction costs, slippage, and rebalancing frequency provides a more honest assessment of strategy viability.</w:t>
      </w:r>
    </w:p>
    <w:p>
      <w:pPr>
        <w:pStyle w:val="Heading2"/>
      </w:pPr>
      <w:r>
        <w:t>6.2 Comparison with Existing Systems</w:t>
      </w:r>
    </w:p>
    <w:p>
      <w:pPr>
        <w:spacing w:after="80"/>
        <w:jc w:val="center"/>
      </w:pPr>
      <w:r>
        <w:rPr>
          <w:b/>
          <w:sz w:val="18"/>
        </w:rPr>
        <w:t>Table 8. Feature comparison of QuantSim with existing backtesting frameworks.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Pr>
                <w:rFonts w:ascii="Times New Roman" w:hAnsi="Times New Roman"/>
                <w:b/>
                <w:sz w:val="18"/>
              </w:rPr>
              <w:t>Feature</w:t>
            </w:r>
          </w:p>
        </w:tc>
        <w:tc>
          <w:tcPr>
            <w:tcW w:type="dxa" w:w="1881"/>
          </w:tcPr>
          <w:p>
            <w:pPr>
              <w:jc w:val="center"/>
            </w:pPr>
            <w:r>
              <w:rPr>
                <w:rFonts w:ascii="Times New Roman" w:hAnsi="Times New Roman"/>
                <w:b/>
                <w:sz w:val="18"/>
              </w:rPr>
              <w:t>QuantSim</w:t>
            </w:r>
          </w:p>
        </w:tc>
        <w:tc>
          <w:tcPr>
            <w:tcW w:type="dxa" w:w="1881"/>
          </w:tcPr>
          <w:p>
            <w:pPr>
              <w:jc w:val="center"/>
            </w:pPr>
            <w:r>
              <w:rPr>
                <w:rFonts w:ascii="Times New Roman" w:hAnsi="Times New Roman"/>
                <w:b/>
                <w:sz w:val="18"/>
              </w:rPr>
              <w:t>Zipline</w:t>
            </w:r>
          </w:p>
        </w:tc>
        <w:tc>
          <w:tcPr>
            <w:tcW w:type="dxa" w:w="1881"/>
          </w:tcPr>
          <w:p>
            <w:pPr>
              <w:jc w:val="center"/>
            </w:pPr>
            <w:r>
              <w:rPr>
                <w:rFonts w:ascii="Times New Roman" w:hAnsi="Times New Roman"/>
                <w:b/>
                <w:sz w:val="18"/>
              </w:rPr>
              <w:t>QuantConnect</w:t>
            </w:r>
          </w:p>
        </w:tc>
        <w:tc>
          <w:tcPr>
            <w:tcW w:type="dxa" w:w="1881"/>
          </w:tcPr>
          <w:p>
            <w:pPr>
              <w:jc w:val="center"/>
            </w:pPr>
            <w:r>
              <w:rPr>
                <w:rFonts w:ascii="Times New Roman" w:hAnsi="Times New Roman"/>
                <w:b/>
                <w:sz w:val="18"/>
              </w:rPr>
              <w:t>Backtrader</w:t>
            </w:r>
          </w:p>
        </w:tc>
      </w:tr>
      <w:tr>
        <w:tc>
          <w:tcPr>
            <w:tcW w:type="dxa" w:w="1881"/>
          </w:tcPr>
          <w:p>
            <w:pPr>
              <w:jc w:val="center"/>
            </w:pPr>
            <w:r>
              <w:rPr>
                <w:rFonts w:ascii="Times New Roman" w:hAnsi="Times New Roman"/>
                <w:sz w:val="18"/>
              </w:rPr>
              <w:t>Multi-factor scoring</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Partial</w:t>
            </w:r>
          </w:p>
        </w:tc>
        <w:tc>
          <w:tcPr>
            <w:tcW w:type="dxa" w:w="1881"/>
          </w:tcPr>
          <w:p>
            <w:pPr>
              <w:jc w:val="center"/>
            </w:pPr>
            <w:r>
              <w:rPr>
                <w:rFonts w:ascii="Times New Roman" w:hAnsi="Times New Roman"/>
                <w:sz w:val="18"/>
              </w:rPr>
              <w:t>✗</w:t>
            </w:r>
          </w:p>
        </w:tc>
      </w:tr>
      <w:tr>
        <w:tc>
          <w:tcPr>
            <w:tcW w:type="dxa" w:w="1881"/>
          </w:tcPr>
          <w:p>
            <w:pPr>
              <w:jc w:val="center"/>
            </w:pPr>
            <w:r>
              <w:rPr>
                <w:rFonts w:ascii="Times New Roman" w:hAnsi="Times New Roman"/>
                <w:sz w:val="18"/>
              </w:rPr>
              <w:t>ML integration</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w:t>
            </w:r>
          </w:p>
        </w:tc>
      </w:tr>
      <w:tr>
        <w:tc>
          <w:tcPr>
            <w:tcW w:type="dxa" w:w="1881"/>
          </w:tcPr>
          <w:p>
            <w:pPr>
              <w:jc w:val="center"/>
            </w:pPr>
            <w:r>
              <w:rPr>
                <w:rFonts w:ascii="Times New Roman" w:hAnsi="Times New Roman"/>
                <w:sz w:val="18"/>
              </w:rPr>
              <w:t>NLP sentiment (FinBERT)</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w:t>
            </w:r>
          </w:p>
        </w:tc>
      </w:tr>
      <w:tr>
        <w:tc>
          <w:tcPr>
            <w:tcW w:type="dxa" w:w="1881"/>
          </w:tcPr>
          <w:p>
            <w:pPr>
              <w:jc w:val="center"/>
            </w:pPr>
            <w:r>
              <w:rPr>
                <w:rFonts w:ascii="Times New Roman" w:hAnsi="Times New Roman"/>
                <w:sz w:val="18"/>
              </w:rPr>
              <w:t>SHAP explainability</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w:t>
            </w:r>
          </w:p>
        </w:tc>
      </w:tr>
      <w:tr>
        <w:tc>
          <w:tcPr>
            <w:tcW w:type="dxa" w:w="1881"/>
          </w:tcPr>
          <w:p>
            <w:pPr>
              <w:jc w:val="center"/>
            </w:pPr>
            <w:r>
              <w:rPr>
                <w:rFonts w:ascii="Times New Roman" w:hAnsi="Times New Roman"/>
                <w:sz w:val="18"/>
              </w:rPr>
              <w:t>Transaction cost modeling</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w:t>
            </w:r>
          </w:p>
        </w:tc>
      </w:tr>
      <w:tr>
        <w:tc>
          <w:tcPr>
            <w:tcW w:type="dxa" w:w="1881"/>
          </w:tcPr>
          <w:p>
            <w:pPr>
              <w:jc w:val="center"/>
            </w:pPr>
            <w:r>
              <w:rPr>
                <w:rFonts w:ascii="Times New Roman" w:hAnsi="Times New Roman"/>
                <w:sz w:val="18"/>
              </w:rPr>
              <w:t>Interactive dashboard</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w:t>
            </w:r>
          </w:p>
        </w:tc>
      </w:tr>
      <w:tr>
        <w:tc>
          <w:tcPr>
            <w:tcW w:type="dxa" w:w="1881"/>
          </w:tcPr>
          <w:p>
            <w:pPr>
              <w:jc w:val="center"/>
            </w:pPr>
            <w:r>
              <w:rPr>
                <w:rFonts w:ascii="Times New Roman" w:hAnsi="Times New Roman"/>
                <w:sz w:val="18"/>
              </w:rPr>
              <w:t>AI-powered insights (GPT)</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w:t>
            </w:r>
          </w:p>
        </w:tc>
      </w:tr>
      <w:tr>
        <w:tc>
          <w:tcPr>
            <w:tcW w:type="dxa" w:w="1881"/>
          </w:tcPr>
          <w:p>
            <w:pPr>
              <w:jc w:val="center"/>
            </w:pPr>
            <w:r>
              <w:rPr>
                <w:rFonts w:ascii="Times New Roman" w:hAnsi="Times New Roman"/>
                <w:sz w:val="18"/>
              </w:rPr>
              <w:t>Document analysis (PDF)</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w:t>
            </w:r>
          </w:p>
        </w:tc>
      </w:tr>
      <w:tr>
        <w:tc>
          <w:tcPr>
            <w:tcW w:type="dxa" w:w="1881"/>
          </w:tcPr>
          <w:p>
            <w:pPr>
              <w:jc w:val="center"/>
            </w:pPr>
            <w:r>
              <w:rPr>
                <w:rFonts w:ascii="Times New Roman" w:hAnsi="Times New Roman"/>
                <w:sz w:val="18"/>
              </w:rPr>
              <w:t>Database persistence</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w:t>
            </w:r>
          </w:p>
        </w:tc>
      </w:tr>
      <w:tr>
        <w:tc>
          <w:tcPr>
            <w:tcW w:type="dxa" w:w="1881"/>
          </w:tcPr>
          <w:p>
            <w:pPr>
              <w:jc w:val="center"/>
            </w:pPr>
            <w:r>
              <w:rPr>
                <w:rFonts w:ascii="Times New Roman" w:hAnsi="Times New Roman"/>
                <w:sz w:val="18"/>
              </w:rPr>
              <w:t>Open-source</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Partial</w:t>
            </w:r>
          </w:p>
        </w:tc>
        <w:tc>
          <w:tcPr>
            <w:tcW w:type="dxa" w:w="1881"/>
          </w:tcPr>
          <w:p>
            <w:pPr>
              <w:jc w:val="center"/>
            </w:pPr>
            <w:r>
              <w:rPr>
                <w:rFonts w:ascii="Times New Roman" w:hAnsi="Times New Roman"/>
                <w:sz w:val="18"/>
              </w:rPr>
              <w:t>✓</w:t>
            </w:r>
          </w:p>
        </w:tc>
      </w:tr>
    </w:tbl>
    <w:p/>
    <w:p>
      <w:pPr>
        <w:pStyle w:val="Heading2"/>
      </w:pPr>
      <w:r>
        <w:t>6.3 Limitations</w:t>
      </w:r>
    </w:p>
    <w:p>
      <w:pPr>
        <w:ind w:left="567"/>
      </w:pPr>
      <w:r>
        <w:t>1. Survivorship bias: The current dataset includes only current S&amp;P 500 constituents and does not account for delisted stocks.</w:t>
      </w:r>
    </w:p>
    <w:p>
      <w:pPr>
        <w:ind w:left="567"/>
      </w:pPr>
      <w:r>
        <w:t>2. Look-ahead bias in factor scoring: While the ML pipeline employs time-series splits, factor score computation may include contemporaneous information.</w:t>
      </w:r>
    </w:p>
    <w:p>
      <w:pPr>
        <w:ind w:left="567"/>
      </w:pPr>
      <w:r>
        <w:t>3. Single market universe: Results are limited to U.S. large-cap equities. Generalization is not validated.</w:t>
      </w:r>
    </w:p>
    <w:p>
      <w:pPr>
        <w:ind w:left="567"/>
      </w:pPr>
      <w:r>
        <w:t>4. Limited hyperparameter tuning: The ML model uses default hyperparameters without cross-validated optimization.</w:t>
      </w:r>
    </w:p>
    <w:p>
      <w:pPr>
        <w:ind w:left="567"/>
      </w:pPr>
      <w:r>
        <w:t>5. Sentiment coverage: FinBERT sentiment analysis depends on Finnhub news availability, which may have uneven coverage.</w:t>
      </w:r>
    </w:p>
    <w:p>
      <w:pPr>
        <w:ind w:left="567"/>
      </w:pPr>
      <w:r>
        <w:t>6. Portfolio capacity constraints: Backtesting does not model market impact for large portfolio sizes.</w:t>
      </w:r>
    </w:p>
    <w:p>
      <w:pPr>
        <w:ind w:left="567"/>
      </w:pPr>
      <w:r>
        <w:t>7. No short-selling: The current framework constructs long-only portfolios.</w:t>
      </w:r>
    </w:p>
    <w:p>
      <w:pPr>
        <w:pStyle w:val="Heading2"/>
      </w:pPr>
      <w:r>
        <w:t>6.4 Future Work</w:t>
      </w:r>
    </w:p>
    <w:p>
      <w:pPr>
        <w:ind w:left="567"/>
      </w:pPr>
      <w:r>
        <w:t>1. Reinforcement Learning: Replace rank-and-select with a deep RL agent (PPO, A2C) for optimal allocation [37].</w:t>
      </w:r>
    </w:p>
    <w:p>
      <w:pPr>
        <w:ind w:left="567"/>
      </w:pPr>
      <w:r>
        <w:t>2. Alternative Data Integration: Incorporate satellite imagery, social media sentiment, web traffic [38].</w:t>
      </w:r>
    </w:p>
    <w:p>
      <w:pPr>
        <w:ind w:left="567"/>
      </w:pPr>
      <w:r>
        <w:t>3. Dynamic Factor Timing: Implement regime detection (Hidden Markov Models) for dynamic factor weights [39].</w:t>
      </w:r>
    </w:p>
    <w:p>
      <w:pPr>
        <w:ind w:left="567"/>
      </w:pPr>
      <w:r>
        <w:t>4. Neural Network Models: Extend to LSTM, Transformer, and Temporal Fusion Transformer architectures [40].</w:t>
      </w:r>
    </w:p>
    <w:p>
      <w:pPr>
        <w:ind w:left="567"/>
      </w:pPr>
      <w:r>
        <w:t>5. Long-Short Portfolios: Implement market-neutral long-short strategies.</w:t>
      </w:r>
    </w:p>
    <w:p>
      <w:pPr>
        <w:ind w:left="567"/>
      </w:pPr>
      <w:r>
        <w:t>6. Multi-Asset Extension: Support fixed income, commodities, cryptocurrencies.</w:t>
      </w:r>
    </w:p>
    <w:p>
      <w:pPr>
        <w:ind w:left="567"/>
      </w:pPr>
      <w:r>
        <w:t>7. Walk-Forward Optimization: Replace fixed splits with rolling walk-forward validation [41].</w:t>
      </w:r>
    </w:p>
    <w:p>
      <w:pPr>
        <w:ind w:left="567"/>
      </w:pPr>
      <w:r>
        <w:t>8. Distributed Computing: Leverage Dask or Ray for parallelized computation at scale.</w:t>
      </w:r>
    </w:p>
    <w:p>
      <w:pPr>
        <w:pStyle w:val="Heading1"/>
      </w:pPr>
      <w:r>
        <w:t>7. Conclusion</w:t>
      </w:r>
    </w:p>
    <w:p>
      <w:r>
        <w:t>This paper presented QuantSim, a comprehensive quantitative factor investing simulator that unifies multi-factor scoring, gradient-boosted machine learning, transformer-based sentiment analysis, model explainability, and production-grade backtesting in a modular, extensible architecture. Experimental results demonstrate that the ML-enhanced risk-adjusted portfolio achieves a Sharpe ratio of 1.385 — a 61% improvement over the S&amp;P 500 benchmark — while maintaining outperformance after accounting for realistic market frictions. The integration of SHAP explainability and FinBERT sentiment analysis provides transparency and alternative data augmentation that are increasingly critical in modern quantitative investing. The modular design and open-source implementation enable reproducible research and serve as a foundation for further advances in ML-driven portfolio construction.</w:t>
      </w:r>
    </w:p>
    <w:p>
      <w:pPr>
        <w:pStyle w:val="Heading1"/>
      </w:pPr>
      <w:r>
        <w:t>References</w:t>
      </w:r>
    </w:p>
    <w:p>
      <w:pPr>
        <w:spacing w:after="40"/>
        <w:ind w:left="425" w:hanging="425"/>
      </w:pPr>
      <w:r>
        <w:rPr>
          <w:sz w:val="18"/>
        </w:rPr>
        <w:t>[1] Fama, E.F.: Efficient capital markets: a review of theory and empirical work. J. Finance 25(2), 383–417 (1970)</w:t>
      </w:r>
    </w:p>
    <w:p>
      <w:pPr>
        <w:spacing w:after="40"/>
        <w:ind w:left="425" w:hanging="425"/>
      </w:pPr>
      <w:r>
        <w:rPr>
          <w:sz w:val="18"/>
        </w:rPr>
        <w:t>[2] Haugen, R.A., Baker, N.L.: Commonality in the determinants of expected stock returns. J. Financial Econ. 41(3), 401–439 (1996)</w:t>
      </w:r>
    </w:p>
    <w:p>
      <w:pPr>
        <w:spacing w:after="40"/>
        <w:ind w:left="425" w:hanging="425"/>
      </w:pPr>
      <w:r>
        <w:rPr>
          <w:sz w:val="18"/>
        </w:rPr>
        <w:t>[3] Sharpe, W.F.: Capital asset prices: a theory of market equilibrium under conditions of risk. J. Finance 19(3), 425–442 (1964)</w:t>
      </w:r>
    </w:p>
    <w:p>
      <w:pPr>
        <w:spacing w:after="40"/>
        <w:ind w:left="425" w:hanging="425"/>
      </w:pPr>
      <w:r>
        <w:rPr>
          <w:sz w:val="18"/>
        </w:rPr>
        <w:t>[4] Fama, E.F., French, K.R.: Common risk factors in the returns on stocks and bonds. J. Financial Econ. 33(1), 3–56 (1993)</w:t>
      </w:r>
    </w:p>
    <w:p>
      <w:pPr>
        <w:spacing w:after="40"/>
        <w:ind w:left="425" w:hanging="425"/>
      </w:pPr>
      <w:r>
        <w:rPr>
          <w:sz w:val="18"/>
        </w:rPr>
        <w:t>[5] Carhart, M.M.: On persistence in mutual fund performance. J. Finance 52(1), 57–82 (1997)</w:t>
      </w:r>
    </w:p>
    <w:p>
      <w:pPr>
        <w:spacing w:after="40"/>
        <w:ind w:left="425" w:hanging="425"/>
      </w:pPr>
      <w:r>
        <w:rPr>
          <w:sz w:val="18"/>
        </w:rPr>
        <w:t>[6] Novy-Marx, R.: The other side of value: the gross profitability premium. J. Financial Econ. 108(1), 1–28 (2013)</w:t>
      </w:r>
    </w:p>
    <w:p>
      <w:pPr>
        <w:spacing w:after="40"/>
        <w:ind w:left="425" w:hanging="425"/>
      </w:pPr>
      <w:r>
        <w:rPr>
          <w:sz w:val="18"/>
        </w:rPr>
        <w:t>[7] Frazzini, A., Pedersen, L.H.: Betting against beta. J. Financial Econ. 111(1), 1–25 (2014)</w:t>
      </w:r>
    </w:p>
    <w:p>
      <w:pPr>
        <w:spacing w:after="40"/>
        <w:ind w:left="425" w:hanging="425"/>
      </w:pPr>
      <w:r>
        <w:rPr>
          <w:sz w:val="18"/>
        </w:rPr>
        <w:t>[8] Chen, T., Guestrin, C.: XGBoost: a scalable tree boosting system. In: Proc. ACM SIGKDD, pp. 785–794 (2016)</w:t>
      </w:r>
    </w:p>
    <w:p>
      <w:pPr>
        <w:spacing w:after="40"/>
        <w:ind w:left="425" w:hanging="425"/>
      </w:pPr>
      <w:r>
        <w:rPr>
          <w:sz w:val="18"/>
        </w:rPr>
        <w:t>[9] Ke, G., et al.: LightGBM: a highly efficient gradient boosting decision tree. In: NeurIPS, vol. 30, pp. 3146–3154 (2017)</w:t>
      </w:r>
    </w:p>
    <w:p>
      <w:pPr>
        <w:spacing w:after="40"/>
        <w:ind w:left="425" w:hanging="425"/>
      </w:pPr>
      <w:r>
        <w:rPr>
          <w:sz w:val="18"/>
        </w:rPr>
        <w:t>[10] Gu, S., Kelly, B., Xiu, D.: Empirical asset pricing via machine learning. Rev. Financial Stud. 33(5), 2223–2273 (2020)</w:t>
      </w:r>
    </w:p>
    <w:p>
      <w:pPr>
        <w:spacing w:after="40"/>
        <w:ind w:left="425" w:hanging="425"/>
      </w:pPr>
      <w:r>
        <w:rPr>
          <w:sz w:val="18"/>
        </w:rPr>
        <w:t>[11] Araci, D.: FinBERT: financial sentiment analysis with pre-trained language models. arXiv:1908.10063 (2019)</w:t>
      </w:r>
    </w:p>
    <w:p>
      <w:pPr>
        <w:spacing w:after="40"/>
        <w:ind w:left="425" w:hanging="425"/>
      </w:pPr>
      <w:r>
        <w:rPr>
          <w:sz w:val="18"/>
        </w:rPr>
        <w:t>[12] Xing, F.Z., Cambria, E., Welsch, R.E.: Natural language based financial forecasting: a survey. Artif. Intell. Rev. 50(1), 49–73 (2018)</w:t>
      </w:r>
    </w:p>
    <w:p>
      <w:pPr>
        <w:spacing w:after="40"/>
        <w:ind w:left="425" w:hanging="425"/>
      </w:pPr>
      <w:r>
        <w:rPr>
          <w:sz w:val="18"/>
        </w:rPr>
        <w:t>[13] Lundberg, S.M., Lee, S.I.: A unified approach to interpreting model predictions. In: NeurIPS, vol. 30, pp. 4765–4774 (2017)</w:t>
      </w:r>
    </w:p>
    <w:p>
      <w:pPr>
        <w:spacing w:after="40"/>
        <w:ind w:left="425" w:hanging="425"/>
      </w:pPr>
      <w:r>
        <w:rPr>
          <w:sz w:val="18"/>
        </w:rPr>
        <w:t>[14] Fama, E.F., French, K.R.: A five-factor asset pricing model. J. Financial Econ. 116(1), 1–22 (2015)</w:t>
      </w:r>
    </w:p>
    <w:p>
      <w:pPr>
        <w:spacing w:after="40"/>
        <w:ind w:left="425" w:hanging="425"/>
      </w:pPr>
      <w:r>
        <w:rPr>
          <w:sz w:val="18"/>
        </w:rPr>
        <w:t>[15] Bender, J., et al.: Foundations of factor investing. MSCI Research Insight (2013)</w:t>
      </w:r>
    </w:p>
    <w:p>
      <w:pPr>
        <w:spacing w:after="40"/>
        <w:ind w:left="425" w:hanging="425"/>
      </w:pPr>
      <w:r>
        <w:rPr>
          <w:sz w:val="18"/>
        </w:rPr>
        <w:t>[16] Ang, A.: Factor investing. In: Asset Management, pp. 193–258. Oxford University Press (2014)</w:t>
      </w:r>
    </w:p>
    <w:p>
      <w:pPr>
        <w:spacing w:after="40"/>
        <w:ind w:left="425" w:hanging="425"/>
      </w:pPr>
      <w:r>
        <w:rPr>
          <w:sz w:val="18"/>
        </w:rPr>
        <w:t>[17] Chen, L., Pelger, M., Zhu, J.: Deep learning in asset pricing. Manage. Sci. 70(2), 714–750 (2024)</w:t>
      </w:r>
    </w:p>
    <w:p>
      <w:pPr>
        <w:spacing w:after="40"/>
        <w:ind w:left="425" w:hanging="425"/>
      </w:pPr>
      <w:r>
        <w:rPr>
          <w:sz w:val="18"/>
        </w:rPr>
        <w:t>[18] Feng, G., Polson, N.G., Xu, J.: Deep learning for predicting asset returns. arXiv:1804.09314 (2018)</w:t>
      </w:r>
    </w:p>
    <w:p>
      <w:pPr>
        <w:spacing w:after="40"/>
        <w:ind w:left="425" w:hanging="425"/>
      </w:pPr>
      <w:r>
        <w:rPr>
          <w:sz w:val="18"/>
        </w:rPr>
        <w:t>[19] Rasekhschaffe, K.C., Jones, R.C.: Machine learning for stock selection. Financial Anal. J. 75(3), 70–88 (2019)</w:t>
      </w:r>
    </w:p>
    <w:p>
      <w:pPr>
        <w:spacing w:after="40"/>
        <w:ind w:left="425" w:hanging="425"/>
      </w:pPr>
      <w:r>
        <w:rPr>
          <w:sz w:val="18"/>
        </w:rPr>
        <w:t>[20] Xia, Y., et al.: A boosted decision tree approach using Bayesian optimization for credit scoring. Expert Syst. Appl. 78, 225–241 (2017)</w:t>
      </w:r>
    </w:p>
    <w:p>
      <w:pPr>
        <w:spacing w:after="40"/>
        <w:ind w:left="425" w:hanging="425"/>
      </w:pPr>
      <w:r>
        <w:rPr>
          <w:sz w:val="18"/>
        </w:rPr>
        <w:t>[21] Buehler, H., et al.: Deep hedging. Quant. Finance 19(8), 1271–1291 (2019)</w:t>
      </w:r>
    </w:p>
    <w:p>
      <w:pPr>
        <w:spacing w:after="40"/>
        <w:ind w:left="425" w:hanging="425"/>
      </w:pPr>
      <w:r>
        <w:rPr>
          <w:sz w:val="18"/>
        </w:rPr>
        <w:t>[22] Tetlock, P.C.: Giving content to investor sentiment. J. Finance 62(3), 1139–1168 (2007)</w:t>
      </w:r>
    </w:p>
    <w:p>
      <w:pPr>
        <w:spacing w:after="40"/>
        <w:ind w:left="425" w:hanging="425"/>
      </w:pPr>
      <w:r>
        <w:rPr>
          <w:sz w:val="18"/>
        </w:rPr>
        <w:t>[23] Loughran, T., McDonald, B.: When is a liability not a liability? J. Finance 66(1), 35–65 (2011)</w:t>
      </w:r>
    </w:p>
    <w:p>
      <w:pPr>
        <w:spacing w:after="40"/>
        <w:ind w:left="425" w:hanging="425"/>
      </w:pPr>
      <w:r>
        <w:rPr>
          <w:sz w:val="18"/>
        </w:rPr>
        <w:t>[24] Devlin, J., et al.: BERT: pre-training of deep bidirectional transformers. In: Proc. NAACL-HLT, pp. 4171–4186 (2019)</w:t>
      </w:r>
    </w:p>
    <w:p>
      <w:pPr>
        <w:spacing w:after="40"/>
        <w:ind w:left="425" w:hanging="425"/>
      </w:pPr>
      <w:r>
        <w:rPr>
          <w:sz w:val="18"/>
        </w:rPr>
        <w:t>[25] Malo, P., et al.: Good debt or bad debt: detecting semantic orientations in economic texts. JASIST 65(4), 782–796 (2014)</w:t>
      </w:r>
    </w:p>
    <w:p>
      <w:pPr>
        <w:spacing w:after="40"/>
        <w:ind w:left="425" w:hanging="425"/>
      </w:pPr>
      <w:r>
        <w:rPr>
          <w:sz w:val="18"/>
        </w:rPr>
        <w:t>[26] Heston, S.L., Sinha, N.R.: News vs. sentiment: predicting stock returns. Financial Anal. J. 73(3), 67–83 (2017)</w:t>
      </w:r>
    </w:p>
    <w:p>
      <w:pPr>
        <w:spacing w:after="40"/>
        <w:ind w:left="425" w:hanging="425"/>
      </w:pPr>
      <w:r>
        <w:rPr>
          <w:sz w:val="18"/>
        </w:rPr>
        <w:t>[27] Ke, Z.T., Kelly, B.T., Xiu, D.: Predicting returns with text data. NBER Working Paper No. 26186 (2019)</w:t>
      </w:r>
    </w:p>
    <w:p>
      <w:pPr>
        <w:spacing w:after="40"/>
        <w:ind w:left="425" w:hanging="425"/>
      </w:pPr>
      <w:r>
        <w:rPr>
          <w:sz w:val="18"/>
        </w:rPr>
        <w:t>[28] Bailey, D.H., et al.: Pseudo-mathematics and financial charlatanism. Not. Am. Math. Soc. 61(5), 458–471 (2014)</w:t>
      </w:r>
    </w:p>
    <w:p>
      <w:pPr>
        <w:spacing w:after="40"/>
        <w:ind w:left="425" w:hanging="425"/>
      </w:pPr>
      <w:r>
        <w:rPr>
          <w:sz w:val="18"/>
        </w:rPr>
        <w:t>[29] Harvey, C.R., Liu, Y., Zhu, H.: ...and the cross-section of expected returns. Rev. Financial Stud. 29(1), 5–68 (2016)</w:t>
      </w:r>
    </w:p>
    <w:p>
      <w:pPr>
        <w:spacing w:after="40"/>
        <w:ind w:left="425" w:hanging="425"/>
      </w:pPr>
      <w:r>
        <w:rPr>
          <w:sz w:val="18"/>
        </w:rPr>
        <w:t>[30] Quantopian: Zipline — Pythonic algorithmic trading library. GitHub (2020)</w:t>
      </w:r>
    </w:p>
    <w:p>
      <w:pPr>
        <w:spacing w:after="40"/>
        <w:ind w:left="425" w:hanging="425"/>
      </w:pPr>
      <w:r>
        <w:rPr>
          <w:sz w:val="18"/>
        </w:rPr>
        <w:t>[31] Backtrader: Python backtesting library. https://www.backtrader.com/ (2023)</w:t>
      </w:r>
    </w:p>
    <w:p>
      <w:pPr>
        <w:spacing w:after="40"/>
        <w:ind w:left="425" w:hanging="425"/>
      </w:pPr>
      <w:r>
        <w:rPr>
          <w:sz w:val="18"/>
        </w:rPr>
        <w:t>[32] QuantConnect: Algorithmic trading platform. https://www.quantconnect.com/ (2024)</w:t>
      </w:r>
    </w:p>
    <w:p>
      <w:pPr>
        <w:spacing w:after="40"/>
        <w:ind w:left="425" w:hanging="425"/>
      </w:pPr>
      <w:r>
        <w:rPr>
          <w:sz w:val="18"/>
        </w:rPr>
        <w:t>[33] Streamlit Inc.: Streamlit — the fastest way to build data apps. https://streamlit.io/ (2024)</w:t>
      </w:r>
    </w:p>
    <w:p>
      <w:pPr>
        <w:spacing w:after="40"/>
        <w:ind w:left="425" w:hanging="425"/>
      </w:pPr>
      <w:r>
        <w:rPr>
          <w:sz w:val="18"/>
        </w:rPr>
        <w:t>[34] Plotly Technologies Inc.: Plotly. https://plotly.com/ (2024)</w:t>
      </w:r>
    </w:p>
    <w:p>
      <w:pPr>
        <w:spacing w:after="40"/>
        <w:ind w:left="425" w:hanging="425"/>
      </w:pPr>
      <w:r>
        <w:rPr>
          <w:sz w:val="18"/>
        </w:rPr>
        <w:t>[35] Arnott, R.D., et al.: Alice's adventures in factorland. J. Portfolio Manage. 45(4), 18–36 (2019)</w:t>
      </w:r>
    </w:p>
    <w:p>
      <w:pPr>
        <w:spacing w:after="40"/>
        <w:ind w:left="425" w:hanging="425"/>
      </w:pPr>
      <w:r>
        <w:rPr>
          <w:sz w:val="18"/>
        </w:rPr>
        <w:t>[36] Rudin, C.: Stop explaining black box ML models for high stakes decisions. Nat. Mach. Intell. 1(5), 206–215 (2019)</w:t>
      </w:r>
    </w:p>
    <w:p>
      <w:pPr>
        <w:spacing w:after="40"/>
        <w:ind w:left="425" w:hanging="425"/>
      </w:pPr>
      <w:r>
        <w:rPr>
          <w:sz w:val="18"/>
        </w:rPr>
        <w:t>[37] Jiang, Z., Xu, D., Liang, J.: A deep RL framework for financial portfolio management. arXiv:1706.10059 (2017)</w:t>
      </w:r>
    </w:p>
    <w:p>
      <w:pPr>
        <w:spacing w:after="40"/>
        <w:ind w:left="425" w:hanging="425"/>
      </w:pPr>
      <w:r>
        <w:rPr>
          <w:sz w:val="18"/>
        </w:rPr>
        <w:t>[38] Kolanovic, M., Krishnamachari, R.T.: Big data and AI strategies. J.P. Morgan Quant. Strategy (2017)</w:t>
      </w:r>
    </w:p>
    <w:p>
      <w:pPr>
        <w:spacing w:after="40"/>
        <w:ind w:left="425" w:hanging="425"/>
      </w:pPr>
      <w:r>
        <w:rPr>
          <w:sz w:val="18"/>
        </w:rPr>
        <w:t>[39] Nystrup, P., et al.: Dynamic portfolio optimization across hidden market regimes. Quant. Finance 18(1), 83–95 (2018)</w:t>
      </w:r>
    </w:p>
    <w:p>
      <w:pPr>
        <w:spacing w:after="40"/>
        <w:ind w:left="425" w:hanging="425"/>
      </w:pPr>
      <w:r>
        <w:rPr>
          <w:sz w:val="18"/>
        </w:rPr>
        <w:t>[40] Lim, B., et al.: Temporal Fusion Transformers for interpretable forecasting. Int. J. Forecast. 37(4), 1748–1764 (2021)</w:t>
      </w:r>
    </w:p>
    <w:p>
      <w:pPr>
        <w:spacing w:after="40"/>
        <w:ind w:left="425" w:hanging="425"/>
      </w:pPr>
      <w:r>
        <w:rPr>
          <w:sz w:val="18"/>
        </w:rPr>
        <w:t>[41] Pardo, R.: The Evaluation and Optimization of Trading Strategies. 2nd edn. Wiley (2008)</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Times New Roman" w:hAnsi="Times New Roman"/>
      <w:b/>
      <w:bCs/>
      <w:i/>
      <w:iCs/>
      <w:color w:val="000000"/>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