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Следующий шаг - экспертная разметка: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554 теста,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интеграции с реальным реестром нужны его адрес и токен доступа. Сейчас API передаёт заглушке статический Bearer-токен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получать токен у Keycloak по client credentials или token exchange - небольшая доработка клиента реестра.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 README.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Ежедневная фоновая сверка - страховка от потерянных событий, следующий шаг.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данных; в MVP ГОСТ не используется, так как соответствие обеспечивает сертификация СКЗИ, а не сам алгоритм.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Следующие шаги.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(README,</w:t>
      </w:r>
      <w:r>
        <w:rPr>
          <w:lang w:val="ru"/>
        </w:rPr>
        <w:t xml:space="preserve"> </w:t>
      </w:r>
      <w:r>
        <w:rPr>
          <w:lang w:val="ru"/>
        </w:rPr>
        <w:t xml:space="preserve">“Эмбеддер без сети”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 README</w:t>
      </w:r>
      <w:r>
        <w:rPr>
          <w:lang w:val="ru"/>
        </w:rPr>
        <w:t xml:space="preserve"> </w:t>
      </w:r>
      <w:r>
        <w:rPr>
          <w:lang w:val="ru"/>
        </w:rPr>
        <w:t xml:space="preserve">“Демо-сервер”</w:t>
      </w:r>
      <w:r>
        <w:rPr>
          <w:lang w:val="ru"/>
        </w:rPr>
        <w:t xml:space="preserve">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дамп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 docs/architecture.md, раздел 12.2.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(docs/architecture.md, раздел 12.1).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12.3):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12.2).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2026-10-10T15:58:52Z</dcterms:created>
  <dcterms:modified xsi:type="dcterms:W3CDTF">2026-10-10T15:58:52Z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