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0"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очередь модерации (§10.1). Дальше — ЕГРЮЛ и модерация с решениями</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4"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2"/>
    <w:bookmarkStart w:id="33"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3"/>
    <w:bookmarkEnd w:id="34"/>
    <w:bookmarkStart w:id="38" w:name="интеграция-с-фсп"/>
    <w:p>
      <w:pPr>
        <w:pStyle w:val="Heading2"/>
      </w:pPr>
      <w:r>
        <w:t xml:space="preserve">7. Интеграция с ФСП</w:t>
      </w:r>
    </w:p>
    <w:bookmarkStart w:id="35"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w:t>
      </w:r>
    </w:p>
    <w:p>
      <w:pPr>
        <w:pStyle w:val="Compact"/>
        <w:numPr>
          <w:ilvl w:val="0"/>
          <w:numId w:val="1008"/>
        </w:numPr>
      </w:pPr>
      <w:r>
        <w:t xml:space="preserve">Если реестр недоступен, привязка сохраняется, синхронизация повторяется позже.</w:t>
      </w:r>
    </w:p>
    <w:p>
      <w:pPr>
        <w:pStyle w:val="Compact"/>
        <w:numPr>
          <w:ilvl w:val="0"/>
          <w:numId w:val="1008"/>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5"/>
    <w:bookmarkStart w:id="36"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6"/>
    <w:bookmarkStart w:id="37"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7"/>
    <w:bookmarkEnd w:id="38"/>
    <w:bookmarkStart w:id="43" w:name="безопасность-и-152-фз"/>
    <w:p>
      <w:pPr>
        <w:pStyle w:val="Heading2"/>
      </w:pPr>
      <w:r>
        <w:t xml:space="preserve">8. Безопасность и 152-ФЗ</w:t>
      </w:r>
    </w:p>
    <w:bookmarkStart w:id="39" w:name="аутентификация"/>
    <w:p>
      <w:pPr>
        <w:pStyle w:val="Heading3"/>
      </w:pPr>
      <w:r>
        <w:t xml:space="preserve">8.1. Аутентификация</w:t>
      </w:r>
    </w:p>
    <w:p>
      <w:pPr>
        <w:pStyle w:val="Compact"/>
        <w:numPr>
          <w:ilvl w:val="0"/>
          <w:numId w:val="1009"/>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9"/>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9"/>
        </w:numPr>
      </w:pPr>
      <w:r>
        <w:t xml:space="preserve">Защита от CSRF: изменяющие запросы с cookie принимаются только с собственного Origin.</w:t>
      </w:r>
    </w:p>
    <w:p>
      <w:pPr>
        <w:pStyle w:val="Compact"/>
        <w:numPr>
          <w:ilvl w:val="0"/>
          <w:numId w:val="1009"/>
        </w:numPr>
      </w:pPr>
      <w:r>
        <w:t xml:space="preserve">Ограничение частоты: вход, регистрация, повторные письма, приглашения, жалобы.</w:t>
      </w:r>
    </w:p>
    <w:bookmarkEnd w:id="39"/>
    <w:bookmarkStart w:id="40" w:name="персональные-данные"/>
    <w:p>
      <w:pPr>
        <w:pStyle w:val="Heading3"/>
      </w:pPr>
      <w:r>
        <w:t xml:space="preserve">8.2. Персональные данные</w:t>
      </w:r>
    </w:p>
    <w:p>
      <w:pPr>
        <w:pStyle w:val="Compact"/>
        <w:numPr>
          <w:ilvl w:val="0"/>
          <w:numId w:val="1010"/>
        </w:numPr>
      </w:pPr>
      <w:r>
        <w:t xml:space="preserve">Email, ФИО и контакты кандидата хранятся зашифрованными (XChaCha20-Poly1305); поиск по email — через keyed-хеш (blind index).</w:t>
      </w:r>
    </w:p>
    <w:p>
      <w:pPr>
        <w:pStyle w:val="Compact"/>
        <w:numPr>
          <w:ilvl w:val="0"/>
          <w:numId w:val="1010"/>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0"/>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0"/>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кешируется в памяти, но отзыв согласия, скрытие профиля и любая другая правка, меняющая выдачу, сбрасывают кеш до ответа. Сохранённая подборка и страница поиска перепроверяются по базе при каждом показе, поэтому скрытый профиль исчезает сразу, без пересборки и на любой копии сервера.</w:t>
      </w:r>
    </w:p>
    <w:p>
      <w:pPr>
        <w:pStyle w:val="Compact"/>
        <w:numPr>
          <w:ilvl w:val="0"/>
          <w:numId w:val="1010"/>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0"/>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0"/>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0"/>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0"/>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0"/>
        </w:numPr>
      </w:pPr>
      <w:r>
        <w:t xml:space="preserve">Удаление аккаунта стирает персональные данные, связи обезличиваются.</w:t>
      </w:r>
    </w:p>
    <w:p>
      <w:pPr>
        <w:pStyle w:val="Compact"/>
        <w:numPr>
          <w:ilvl w:val="0"/>
          <w:numId w:val="1010"/>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1"/>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1"/>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1"/>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1"/>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1"/>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1"/>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1"/>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2"/>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2"/>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2"/>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2"/>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2"/>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2"/>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0"/>
    <w:bookmarkStart w:id="41" w:name="разграничение-доступа"/>
    <w:p>
      <w:pPr>
        <w:pStyle w:val="Heading3"/>
      </w:pPr>
      <w:r>
        <w:t xml:space="preserve">8.3. Разграничение доступа</w:t>
      </w:r>
    </w:p>
    <w:p>
      <w:pPr>
        <w:pStyle w:val="Compact"/>
        <w:numPr>
          <w:ilvl w:val="0"/>
          <w:numId w:val="1013"/>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3"/>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3"/>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1"/>
    <w:bookmarkStart w:id="42"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2"/>
    <w:bookmarkEnd w:id="43"/>
    <w:bookmarkStart w:id="44"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116 операций на 98 путях.</w:t>
      </w:r>
    </w:p>
    <w:p>
      <w:pPr>
        <w:pStyle w:val="Compact"/>
        <w:numPr>
          <w:ilvl w:val="0"/>
          <w:numId w:val="1014"/>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4"/>
        </w:numPr>
      </w:pPr>
      <w:r>
        <w:t xml:space="preserve">Формат: JSON, даты RFC 3339, деньги — целые рубли.</w:t>
      </w:r>
    </w:p>
    <w:p>
      <w:pPr>
        <w:pStyle w:val="Compact"/>
        <w:numPr>
          <w:ilvl w:val="0"/>
          <w:numId w:val="1014"/>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w:t>
      </w:r>
    </w:p>
    <w:p>
      <w:pPr>
        <w:pStyle w:val="Compact"/>
        <w:numPr>
          <w:ilvl w:val="0"/>
          <w:numId w:val="1014"/>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проверка вилки по рынку категории, поиск похожих собственных вакансий; для администратора — очередь модерации</w:t>
            </w:r>
          </w:p>
        </w:tc>
        <w:tc>
          <w:tcPr/>
          <w:p>
            <w:pPr>
              <w:pStyle w:val="Compact"/>
              <w:jc w:val="left"/>
            </w:pPr>
            <w:r>
              <w:t xml:space="preserve">4</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bl>
    <w:bookmarkEnd w:id="44"/>
    <w:bookmarkStart w:id="53" w:name="антифейк-и-концепции-вне-mvp"/>
    <w:p>
      <w:pPr>
        <w:pStyle w:val="Heading2"/>
      </w:pPr>
      <w:r>
        <w:t xml:space="preserve">10. Антифейк и концепции вне MVP</w:t>
      </w:r>
    </w:p>
    <w:bookmarkStart w:id="45"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ещё не закрытые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5"/>
        </w:numPr>
      </w:pPr>
      <w:r>
        <w:t xml:space="preserve">новая компания начинает с 10 приглашений в неделю;</w:t>
      </w:r>
    </w:p>
    <w:p>
      <w:pPr>
        <w:pStyle w:val="Compact"/>
        <w:numPr>
          <w:ilvl w:val="0"/>
          <w:numId w:val="1015"/>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5"/>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за вакансию, скопированную у другой компании;</w:t>
      </w:r>
    </w:p>
    <w:p>
      <w:pPr>
        <w:pStyle w:val="Compact"/>
        <w:numPr>
          <w:ilvl w:val="0"/>
          <w:numId w:val="1015"/>
        </w:numPr>
      </w:pPr>
      <w:r>
        <w:t xml:space="preserve">−5, если отозвано 30 % и больше из 5+ приглашений; −5, если кандидаты ответили на 10 % и меньше из 10+ закрытых приглашений; −5 за копии собственных вакансий;</w:t>
      </w:r>
    </w:p>
    <w:p>
      <w:pPr>
        <w:pStyle w:val="Compact"/>
        <w:numPr>
          <w:ilvl w:val="0"/>
          <w:numId w:val="1015"/>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rPr>
          <w:rStyle w:val="VerbatimChar"/>
        </w:rPr>
        <w:t xml:space="preserve">GET /api/v1/admin/trust</w:t>
      </w:r>
      <w:r>
        <w:t xml:space="preserve"> </w:t>
      </w:r>
      <w:r>
        <w:t xml:space="preserve">(роль администратора) отдаёт компании хотя бы с одним отрицательным сигналом — от самой низкой квоты, вакансии и приглашения с отметками и причинами словами («Верх вилки 900 000 ₽ — в 3,1 раза выше 90-го перцентиля ожиданий Бэкенд-разработка · Middle»).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6"/>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6"/>
        </w:numPr>
      </w:pPr>
      <w:r>
        <w:t xml:space="preserve">Подтверждение домена DNS-записью TXT — для компаний, которые не могут войти с корпоративной почты.</w:t>
      </w:r>
    </w:p>
    <w:p>
      <w:pPr>
        <w:pStyle w:val="Compact"/>
        <w:numPr>
          <w:ilvl w:val="0"/>
          <w:numId w:val="1016"/>
        </w:numPr>
      </w:pPr>
      <w:r>
        <w:t xml:space="preserve">Модерация с решениями: снять отметку, подтвердить или отклонить жалобу, временно закрыть приглашения; каждое решение — в журнал и в уровень доверия.</w:t>
      </w:r>
    </w:p>
    <w:p>
      <w:pPr>
        <w:pStyle w:val="Compact"/>
        <w:numPr>
          <w:ilvl w:val="0"/>
          <w:numId w:val="1016"/>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6"/>
        </w:numPr>
      </w:pPr>
      <w:r>
        <w:t xml:space="preserve">Эмбеддинги текста (pgvector) для пересказанных копий: MinHash ловит правки и перестановки, но не перефразирование.</w:t>
      </w:r>
    </w:p>
    <w:bookmarkEnd w:id="45"/>
    <w:bookmarkStart w:id="51"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через сутки событие помечается недоставленным</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7"/>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7"/>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все адреса имени должны быть публичными (не loopback, не частные сети, не link-local с 169.254.169.254, не CGNAT, не служебные диапазоны, включая IPv6 и IPv4 внутри IPv6). Поэтому имя, которое после проверки начали резолвить в 127.0.0.1 (DNS rebinding), всё равно не пройдёт.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7"/>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7"/>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18"/>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18"/>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18"/>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18"/>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6">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47">
        <w:r>
          <w:rPr>
            <w:rStyle w:val="Hyperlink"/>
          </w:rPr>
          <w:t xml:space="preserve">публичное API «Потока» v3</w:t>
        </w:r>
      </w:hyperlink>
      <w:r>
        <w:t xml:space="preserve"> </w:t>
      </w:r>
      <w:r>
        <w:t xml:space="preserve">и</w:t>
      </w:r>
      <w:r>
        <w:t xml:space="preserve"> </w:t>
      </w:r>
      <w:hyperlink r:id="rId48">
        <w:r>
          <w:rPr>
            <w:rStyle w:val="Hyperlink"/>
          </w:rPr>
          <w:t xml:space="preserve">описание на сайте</w:t>
        </w:r>
      </w:hyperlink>
      <w:r>
        <w:t xml:space="preserve">,</w:t>
      </w:r>
      <w:r>
        <w:t xml:space="preserve"> </w:t>
      </w:r>
      <w:hyperlink r:id="rId49">
        <w:r>
          <w:rPr>
            <w:rStyle w:val="Hyperlink"/>
          </w:rPr>
          <w:t xml:space="preserve">документация API Talantix</w:t>
        </w:r>
      </w:hyperlink>
      <w:r>
        <w:t xml:space="preserve"> </w:t>
      </w:r>
      <w:r>
        <w:t xml:space="preserve">и</w:t>
      </w:r>
      <w:r>
        <w:t xml:space="preserve"> </w:t>
      </w:r>
      <w:hyperlink r:id="rId50">
        <w:r>
          <w:rPr>
            <w:rStyle w:val="Hyperlink"/>
          </w:rPr>
          <w:t xml:space="preserve">анонс API Talantix 2.0 на hh.ru</w:t>
        </w:r>
      </w:hyperlink>
      <w:r>
        <w:t xml:space="preserve">.</w:t>
      </w:r>
    </w:p>
    <w:bookmarkEnd w:id="51"/>
    <w:bookmarkStart w:id="52"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2"/>
    <w:bookmarkEnd w:id="53"/>
    <w:bookmarkStart w:id="54"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54"/>
    <w:bookmarkStart w:id="59" w:name="сборка-развёртывание-и-запуск"/>
    <w:p>
      <w:pPr>
        <w:pStyle w:val="Heading2"/>
      </w:pPr>
      <w:r>
        <w:t xml:space="preserve">12. Сборка, развёртывание и запуск</w:t>
      </w:r>
    </w:p>
    <w:bookmarkStart w:id="55"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 У демо-работодателя шесть потребностей — по одной на специализацию.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55"/>
    <w:bookmarkStart w:id="56"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6"/>
    <w:bookmarkStart w:id="57"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57"/>
    <w:bookmarkStart w:id="58"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Снимок сбрасывается после любой записи, меняющей выдачу: профиль, навыки, категория, приватность, согласия, ФСП, удаление аккаунта. Между копиями сервера изменение доходит через счётчик в Valkey не дольше чем за 250 мс, страховочный срок жизни снимка — 30 с; отзыв согласия и скрытие профиля действуют с первого же запроса, потому что показанные карточки сверяются с базой. Ранжирование на тех же данных совпадает со старым путём (86 сравнений подборок, поиска и объяснений на 10 000 кандидатах).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HTML и JSON (zstd, gzip),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Замеры.</w:t>
      </w:r>
      <w:r>
        <w:t xml:space="preserve"> </w:t>
      </w:r>
      <w:r>
        <w:t xml:space="preserve">oha, 50 одновременных клиентов, 10 с, медиана двух прогонов; «до» и «после» запускались поочерёдно на одинаковых данных, чтобы фоновая нагрузка ноутбука (Apple M5, PostgreSQL 14, Valkey) влияла на обе стороны одинаково. 10 000 кандидатов — тот же генератор демо-данных (</w:t>
      </w:r>
      <w:r>
        <w:rPr>
          <w:rStyle w:val="VerbatimChar"/>
        </w:rPr>
        <w:t xml:space="preserve">SEED_CANDIDATES_PER_SPEC=1667</w:t>
      </w:r>
      <w:r>
        <w:t xml:space="preserve">).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1 025 / 70</w:t>
            </w:r>
          </w:p>
        </w:tc>
        <w:tc>
          <w:tcPr/>
          <w:p>
            <w:pPr>
              <w:pStyle w:val="Compact"/>
              <w:jc w:val="left"/>
            </w:pPr>
            <w:r>
              <w:t xml:space="preserve">1 900 / 39</w:t>
            </w:r>
          </w:p>
        </w:tc>
        <w:tc>
          <w:tcPr/>
          <w:p>
            <w:pPr>
              <w:pStyle w:val="Compact"/>
              <w:jc w:val="left"/>
            </w:pPr>
            <w:r>
              <w:t xml:space="preserve">84 / 917</w:t>
            </w:r>
          </w:p>
        </w:tc>
        <w:tc>
          <w:tcPr/>
          <w:p>
            <w:pPr>
              <w:pStyle w:val="Compact"/>
              <w:jc w:val="left"/>
            </w:pPr>
            <w:r>
              <w:t xml:space="preserve">2 475 / 28</w:t>
            </w:r>
          </w:p>
        </w:tc>
      </w:tr>
      <w:tr>
        <w:tc>
          <w:tcPr/>
          <w:p>
            <w:pPr>
              <w:pStyle w:val="Compact"/>
              <w:jc w:val="left"/>
            </w:pPr>
            <w:r>
              <w:t xml:space="preserve">Поиск по банку под потребность</w:t>
            </w:r>
          </w:p>
        </w:tc>
        <w:tc>
          <w:tcPr/>
          <w:p>
            <w:pPr>
              <w:pStyle w:val="Compact"/>
              <w:jc w:val="left"/>
            </w:pPr>
            <w:r>
              <w:t xml:space="preserve">706 / 101</w:t>
            </w:r>
          </w:p>
        </w:tc>
        <w:tc>
          <w:tcPr/>
          <w:p>
            <w:pPr>
              <w:pStyle w:val="Compact"/>
              <w:jc w:val="left"/>
            </w:pPr>
            <w:r>
              <w:t xml:space="preserve">2 200 / 30</w:t>
            </w:r>
          </w:p>
        </w:tc>
        <w:tc>
          <w:tcPr/>
          <w:p>
            <w:pPr>
              <w:pStyle w:val="Compact"/>
              <w:jc w:val="left"/>
            </w:pPr>
            <w:r>
              <w:t xml:space="preserve">29 / 2 929</w:t>
            </w:r>
          </w:p>
        </w:tc>
        <w:tc>
          <w:tcPr/>
          <w:p>
            <w:pPr>
              <w:pStyle w:val="Compact"/>
              <w:jc w:val="left"/>
            </w:pPr>
            <w:r>
              <w:t xml:space="preserve">1 851 / 43</w:t>
            </w:r>
          </w:p>
        </w:tc>
      </w:tr>
      <w:tr>
        <w:tc>
          <w:tcPr/>
          <w:p>
            <w:pPr>
              <w:pStyle w:val="Compact"/>
              <w:jc w:val="left"/>
            </w:pPr>
            <w:r>
              <w:t xml:space="preserve">Профиль с объяснением</w:t>
            </w:r>
          </w:p>
        </w:tc>
        <w:tc>
          <w:tcPr/>
          <w:p>
            <w:pPr>
              <w:pStyle w:val="Compact"/>
              <w:jc w:val="left"/>
            </w:pPr>
            <w:r>
              <w:t xml:space="preserve">869 / 73</w:t>
            </w:r>
          </w:p>
        </w:tc>
        <w:tc>
          <w:tcPr/>
          <w:p>
            <w:pPr>
              <w:pStyle w:val="Compact"/>
              <w:jc w:val="left"/>
            </w:pPr>
            <w:r>
              <w:t xml:space="preserve">3 171 / 18</w:t>
            </w:r>
          </w:p>
        </w:tc>
        <w:tc>
          <w:tcPr/>
          <w:p>
            <w:pPr>
              <w:pStyle w:val="Compact"/>
              <w:jc w:val="left"/>
            </w:pPr>
            <w:r>
              <w:t xml:space="preserve">30 / 2 332</w:t>
            </w:r>
          </w:p>
        </w:tc>
        <w:tc>
          <w:tcPr/>
          <w:p>
            <w:pPr>
              <w:pStyle w:val="Compact"/>
              <w:jc w:val="left"/>
            </w:pPr>
            <w:r>
              <w:t xml:space="preserve">2 747 / 26</w:t>
            </w:r>
          </w:p>
        </w:tc>
      </w:tr>
      <w:tr>
        <w:tc>
          <w:tcPr/>
          <w:p>
            <w:pPr>
              <w:pStyle w:val="Compact"/>
              <w:jc w:val="left"/>
            </w:pPr>
            <w:r>
              <w:t xml:space="preserve">Рекомендованные категории потребности</w:t>
            </w:r>
          </w:p>
        </w:tc>
        <w:tc>
          <w:tcPr/>
          <w:p>
            <w:pPr>
              <w:pStyle w:val="Compact"/>
              <w:jc w:val="left"/>
            </w:pPr>
            <w:r>
              <w:t xml:space="preserve">2 005 / 41</w:t>
            </w:r>
          </w:p>
        </w:tc>
        <w:tc>
          <w:tcPr/>
          <w:p>
            <w:pPr>
              <w:pStyle w:val="Compact"/>
              <w:jc w:val="left"/>
            </w:pPr>
            <w:r>
              <w:t xml:space="preserve">9 977 / 6</w:t>
            </w:r>
          </w:p>
        </w:tc>
        <w:tc>
          <w:tcPr/>
          <w:p>
            <w:pPr>
              <w:pStyle w:val="Compact"/>
              <w:jc w:val="left"/>
            </w:pPr>
            <w:r>
              <w:t xml:space="preserve">93 / 675</w:t>
            </w:r>
          </w:p>
        </w:tc>
        <w:tc>
          <w:tcPr/>
          <w:p>
            <w:pPr>
              <w:pStyle w:val="Compact"/>
              <w:jc w:val="left"/>
            </w:pPr>
            <w:r>
              <w:t xml:space="preserve">7 132 / 11</w:t>
            </w:r>
          </w:p>
        </w:tc>
      </w:tr>
      <w:tr>
        <w:tc>
          <w:tcPr/>
          <w:p>
            <w:pPr>
              <w:pStyle w:val="Compact"/>
              <w:jc w:val="left"/>
            </w:pPr>
            <w:r>
              <w:t xml:space="preserve">Пересборка подборки (одна потребность)</w:t>
            </w:r>
          </w:p>
        </w:tc>
        <w:tc>
          <w:tcPr/>
          <w:p>
            <w:pPr>
              <w:pStyle w:val="Compact"/>
              <w:jc w:val="left"/>
            </w:pPr>
            <w:r>
              <w:t xml:space="preserve">221 / 380</w:t>
            </w:r>
          </w:p>
        </w:tc>
        <w:tc>
          <w:tcPr/>
          <w:p>
            <w:pPr>
              <w:pStyle w:val="Compact"/>
              <w:jc w:val="left"/>
            </w:pPr>
            <w:r>
              <w:t xml:space="preserve">315 / 273</w:t>
            </w:r>
          </w:p>
        </w:tc>
        <w:tc>
          <w:tcPr/>
          <w:p>
            <w:pPr>
              <w:pStyle w:val="Compact"/>
              <w:jc w:val="left"/>
            </w:pPr>
            <w:r>
              <w:t xml:space="preserve">26 / 3 367</w:t>
            </w:r>
          </w:p>
        </w:tc>
        <w:tc>
          <w:tcPr/>
          <w:p>
            <w:pPr>
              <w:pStyle w:val="Compact"/>
              <w:jc w:val="left"/>
            </w:pPr>
            <w:r>
              <w:t xml:space="preserve">159 / 533</w:t>
            </w:r>
          </w:p>
        </w:tc>
      </w:tr>
      <w:tr>
        <w:tc>
          <w:tcPr/>
          <w:p>
            <w:pPr>
              <w:pStyle w:val="Compact"/>
              <w:jc w:val="left"/>
            </w:pPr>
            <w:r>
              <w:t xml:space="preserve">Показ сохранённой подборки</w:t>
            </w:r>
          </w:p>
        </w:tc>
        <w:tc>
          <w:tcPr/>
          <w:p>
            <w:pPr>
              <w:pStyle w:val="Compact"/>
              <w:jc w:val="left"/>
            </w:pPr>
            <w:r>
              <w:t xml:space="preserve">1 282 / 64</w:t>
            </w:r>
          </w:p>
        </w:tc>
        <w:tc>
          <w:tcPr/>
          <w:p>
            <w:pPr>
              <w:pStyle w:val="Compact"/>
              <w:jc w:val="left"/>
            </w:pPr>
            <w:r>
              <w:t xml:space="preserve">1 498 / 50</w:t>
            </w:r>
          </w:p>
        </w:tc>
        <w:tc>
          <w:tcPr/>
          <w:p>
            <w:pPr>
              <w:pStyle w:val="Compact"/>
              <w:jc w:val="left"/>
            </w:pPr>
            <w:r>
              <w:t xml:space="preserve">1 322 / 61</w:t>
            </w:r>
          </w:p>
        </w:tc>
        <w:tc>
          <w:tcPr/>
          <w:p>
            <w:pPr>
              <w:pStyle w:val="Compact"/>
              <w:jc w:val="left"/>
            </w:pPr>
            <w:r>
              <w:t xml:space="preserve">1 312 / 60</w:t>
            </w:r>
          </w:p>
        </w:tc>
      </w:tr>
      <w:tr>
        <w:tc>
          <w:tcPr/>
          <w:p>
            <w:pPr>
              <w:pStyle w:val="Compact"/>
              <w:jc w:val="left"/>
            </w:pPr>
            <w:r>
              <w:t xml:space="preserve">Все категории работодателя</w:t>
            </w:r>
          </w:p>
        </w:tc>
        <w:tc>
          <w:tcPr/>
          <w:p>
            <w:pPr>
              <w:pStyle w:val="Compact"/>
              <w:jc w:val="left"/>
            </w:pPr>
            <w:r>
              <w:t xml:space="preserve">7 645 / 8</w:t>
            </w:r>
          </w:p>
        </w:tc>
        <w:tc>
          <w:tcPr/>
          <w:p>
            <w:pPr>
              <w:pStyle w:val="Compact"/>
              <w:jc w:val="left"/>
            </w:pPr>
            <w:r>
              <w:t xml:space="preserve">40 471 / 2</w:t>
            </w:r>
          </w:p>
        </w:tc>
        <w:tc>
          <w:tcPr/>
          <w:p>
            <w:pPr>
              <w:pStyle w:val="Compact"/>
              <w:jc w:val="left"/>
            </w:pPr>
            <w:r>
              <w:t xml:space="preserve">186 / 345</w:t>
            </w:r>
          </w:p>
        </w:tc>
        <w:tc>
          <w:tcPr/>
          <w:p>
            <w:pPr>
              <w:pStyle w:val="Compact"/>
              <w:jc w:val="left"/>
            </w:pPr>
            <w:r>
              <w:t xml:space="preserve">37 495 / 2</w:t>
            </w:r>
          </w:p>
        </w:tc>
      </w:tr>
      <w:tr>
        <w:tc>
          <w:tcPr/>
          <w:p>
            <w:pPr>
              <w:pStyle w:val="Compact"/>
              <w:jc w:val="left"/>
            </w:pPr>
            <w:r>
              <w:t xml:space="preserve">Публичный список вакансий</w:t>
            </w:r>
          </w:p>
        </w:tc>
        <w:tc>
          <w:tcPr/>
          <w:p>
            <w:pPr>
              <w:pStyle w:val="Compact"/>
              <w:jc w:val="left"/>
            </w:pPr>
            <w:r>
              <w:t xml:space="preserve">16 334 / 4</w:t>
            </w:r>
          </w:p>
        </w:tc>
        <w:tc>
          <w:tcPr/>
          <w:p>
            <w:pPr>
              <w:pStyle w:val="Compact"/>
              <w:jc w:val="left"/>
            </w:pPr>
            <w:r>
              <w:t xml:space="preserve">14 156 / 5</w:t>
            </w:r>
          </w:p>
        </w:tc>
        <w:tc>
          <w:tcPr/>
          <w:p>
            <w:pPr>
              <w:pStyle w:val="Compact"/>
              <w:jc w:val="left"/>
            </w:pPr>
            <w:r>
              <w:t xml:space="preserve">18 767 / 3</w:t>
            </w:r>
          </w:p>
        </w:tc>
        <w:tc>
          <w:tcPr/>
          <w:p>
            <w:pPr>
              <w:pStyle w:val="Compact"/>
              <w:jc w:val="left"/>
            </w:pPr>
            <w:r>
              <w:t xml:space="preserve">17 381 / 3</w:t>
            </w:r>
          </w:p>
        </w:tc>
      </w:tr>
    </w:tbl>
    <w:p>
      <w:pPr>
        <w:pStyle w:val="BodyText"/>
      </w:pPr>
      <w:r>
        <w:t xml:space="preserve">Пересборка подборки под нагрузкой упирается в блокировку строки потребности: 50 клиентов пересобирают одну и ту же подборку. Сохранённая подборка и список вакансий пул не используют; их разница — в пределах шума (отдельный прогон в тихие минуты дал 17 693–19 252 и 16 841–18 269 запросов в секунду на вакансиях до и после). Промах кеша при 10 000 кандидатах: загрузка специализации — 24 мс, первая пересборка подборки — 60 мс, следующие — 10 мс. Через Docker и Caddy на 240 кандидатах: поиск по банку 805 → 1 264 запроса в секунду, поиск под потребность 593 → 1 283, профиль с объяснением 691 → 2 534.</w:t>
      </w:r>
    </w:p>
    <w:p>
      <w:pPr>
        <w:pStyle w:val="BodyText"/>
      </w:pPr>
      <w:r>
        <w:rPr>
          <w:b/>
          <w:bCs/>
        </w:rPr>
        <w:t xml:space="preserve">Индексы</w:t>
      </w:r>
      <w:r>
        <w:t xml:space="preserve"> </w:t>
      </w:r>
      <w:r>
        <w:t xml:space="preserve">(миграция</w:t>
      </w:r>
      <w:r>
        <w:t xml:space="preserve"> </w:t>
      </w:r>
      <w:r>
        <w:rPr>
          <w:rStyle w:val="VerbatimChar"/>
        </w:rPr>
        <w:t xml:space="preserve">0009_perf_indexes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 Пул соединений API — 16 при лимите PostgreSQL 100, запас на пять копий сервера.</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api-doc.potok.io/public-api/index.html" TargetMode="External" /><Relationship Type="http://schemas.openxmlformats.org/officeDocument/2006/relationships/hyperlink" Id="rId46" Target="https://api.huntflow.ru/v2/docs" TargetMode="External" /><Relationship Type="http://schemas.openxmlformats.org/officeDocument/2006/relationships/hyperlink" Id="rId49" Target="https://api.talantix.ru/docs/" TargetMode="External" /><Relationship Type="http://schemas.openxmlformats.org/officeDocument/2006/relationships/hyperlink" Id="rId50" Target="https://hh.ru/article/32514" TargetMode="External" /><Relationship Type="http://schemas.openxmlformats.org/officeDocument/2006/relationships/hyperlink" Id="rId48"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47" Target="https://api-doc.potok.io/public-api/index.html" TargetMode="External" /><Relationship Type="http://schemas.openxmlformats.org/officeDocument/2006/relationships/hyperlink" Id="rId46" Target="https://api.huntflow.ru/v2/docs" TargetMode="External" /><Relationship Type="http://schemas.openxmlformats.org/officeDocument/2006/relationships/hyperlink" Id="rId49" Target="https://api.talantix.ru/docs/" TargetMode="External" /><Relationship Type="http://schemas.openxmlformats.org/officeDocument/2006/relationships/hyperlink" Id="rId50" Target="https://hh.ru/article/32514" TargetMode="External" /><Relationship Type="http://schemas.openxmlformats.org/officeDocument/2006/relationships/hyperlink" Id="rId48"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