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50"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(§4.7, §8.2).</w:t>
      </w:r>
    </w:p>
    <w:bookmarkEnd w:id="9"/>
    <w:bookmarkStart w:id="12"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ATS (концепция)</w:t>
            </w:r>
          </w:p>
        </w:tc>
        <w:tc>
          <w:tcPr/>
          <w:p>
            <w:pPr>
              <w:pStyle w:val="Compact"/>
              <w:jc w:val="left"/>
            </w:pPr>
            <w:r>
              <w:t xml:space="preserve">Квоты, жалобы, концепция антифейка и интеграции (§10)</w:t>
            </w:r>
          </w:p>
        </w:tc>
      </w:tr>
    </w:tbl>
    <w:bookmarkEnd w:id="11"/>
    <w:bookmarkEnd w:id="12"/>
    <w:bookmarkStart w:id="13"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 (+pgvector)</w:t>
      </w:r>
      <w:r>
        <w:br/>
      </w:r>
      <w:r>
        <w:rPr>
          <w:rStyle w:val="VerbatimChar"/>
        </w:rPr>
        <w:t xml:space="preserve">             │  :8080     │                        │   API    │ ──▶ Valkey (лимиты, deny-list)</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реестр достижений ФСП (заглушка)</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 тесты на живой базе</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(App Router, TypeScript) с клиентом, сгенерированным из OpenAPI. Права проверяет только API.</w:t>
      </w:r>
    </w:p>
    <w:p>
      <w:pPr>
        <w:pStyle w:val="BodyText"/>
      </w:pPr>
      <w:r>
        <w:t xml:space="preserve">Данные: PostgreSQL — пользователи (email и ФИО зашифрованы), профили, навыки с источником (заявлен / из резюме / подтверждён тестом / ФСП), сессии тестов (хранятся только ссылки на экземпляры заданий), история грейдов, потребности и сохранённые подборки, приглашения и их история, журнал доступа к контактам, согласия.</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API в работе занимает несколько мегабайт памяти, весь стек укладывается в недорогой VPS.</w:t>
      </w:r>
    </w:p>
    <w:bookmarkEnd w:id="13"/>
    <w:bookmarkStart w:id="14" w:name="справочники"/>
    <w:p>
      <w:pPr>
        <w:pStyle w:val="Heading2"/>
      </w:pPr>
      <w:r>
        <w:t xml:space="preserve">3. Справочники</w:t>
      </w:r>
    </w:p>
    <w:p>
      <w:pPr>
        <w:pStyle w:val="Compact"/>
        <w:numPr>
          <w:ilvl w:val="0"/>
          <w:numId w:val="1002"/>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2"/>
        </w:numPr>
      </w:pPr>
      <w:r>
        <w:rPr>
          <w:b/>
          <w:bCs/>
        </w:rPr>
        <w:t xml:space="preserve">Грейды:</w:t>
      </w:r>
      <w:r>
        <w:t xml:space="preserve"> </w:t>
      </w:r>
      <w:r>
        <w:t xml:space="preserve">Junior, Middle, Senior. Пороги на шкале способности θ: −1, 0, +1.</w:t>
      </w:r>
    </w:p>
    <w:p>
      <w:pPr>
        <w:pStyle w:val="Compact"/>
        <w:numPr>
          <w:ilvl w:val="0"/>
          <w:numId w:val="1002"/>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4"/>
    <w:bookmarkStart w:id="22" w:name="механика-тестирования"/>
    <w:p>
      <w:pPr>
        <w:pStyle w:val="Heading2"/>
      </w:pPr>
      <w:r>
        <w:t xml:space="preserve">4. Механика тестирования</w:t>
      </w:r>
    </w:p>
    <w:bookmarkStart w:id="15"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3"/>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3"/>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5"/>
    <w:bookmarkStart w:id="16"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Каждый уровень каждого шаблона даёт не менее 1961 различимого экземпляра на 2000 случайных</w:t>
      </w:r>
      <w:r>
        <w:t xml:space="preserve"> </w:t>
      </w:r>
      <w:r>
        <w:rPr>
          <w:rStyle w:val="VerbatimChar"/>
        </w:rPr>
        <w:t xml:space="preserve">seed</w:t>
      </w:r>
      <w:r>
        <w:t xml:space="preserve">; это закреплено тестом.</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6"/>
    <w:bookmarkStart w:id="17"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из k вариантов,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случайный выбор среди пяти лучших (контроль экспозиции), квоты по темам,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но шкала и пороги остаются общими. Навыки из правильно решённых заданий получают отметку «подтверждён тестом».</w:t>
      </w:r>
    </w:p>
    <w:bookmarkEnd w:id="17"/>
    <w:bookmarkStart w:id="18"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~42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18"/>
    <w:bookmarkStart w:id="19" w:name="правила-смены-грейда"/>
    <w:p>
      <w:pPr>
        <w:pStyle w:val="Heading3"/>
      </w:pPr>
      <w:r>
        <w:t xml:space="preserve">4.5. Правила смены грейда</w:t>
      </w:r>
    </w:p>
    <w:p>
      <w:pPr>
        <w:pStyle w:val="Compact"/>
        <w:numPr>
          <w:ilvl w:val="0"/>
          <w:numId w:val="1004"/>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4"/>
        </w:numPr>
      </w:pPr>
      <w:r>
        <w:rPr>
          <w:b/>
          <w:bCs/>
        </w:rPr>
        <w:t xml:space="preserve">Уверенно сдал</w:t>
      </w:r>
      <w:r>
        <w:t xml:space="preserve"> </w:t>
      </w:r>
      <w:r>
        <w:t xml:space="preserve">— один раз сразу предлагается дотест на грейд выше.</w:t>
      </w:r>
    </w:p>
    <w:p>
      <w:pPr>
        <w:pStyle w:val="Compact"/>
        <w:numPr>
          <w:ilvl w:val="0"/>
          <w:numId w:val="1004"/>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w:t>
      </w:r>
    </w:p>
    <w:p>
      <w:pPr>
        <w:pStyle w:val="Compact"/>
        <w:numPr>
          <w:ilvl w:val="0"/>
          <w:numId w:val="1004"/>
        </w:numPr>
      </w:pPr>
      <w:r>
        <w:t xml:space="preserve">Кандидат видит текущую категорию, историю опросов, тестов и присвоений, доступные попытки и дату, когда откроется смена грейда.</w:t>
      </w:r>
    </w:p>
    <w:bookmarkEnd w:id="19"/>
    <w:bookmarkStart w:id="20"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0"/>
    <w:bookmarkStart w:id="21"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администратор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администратор, который может посмотреть запись.</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Администратор</w:t>
            </w:r>
          </w:p>
        </w:tc>
        <w:tc>
          <w:tcPr/>
          <w:p>
            <w:pPr>
              <w:pStyle w:val="Compact"/>
              <w:jc w:val="left"/>
            </w:pPr>
            <w:r>
              <w:t xml:space="preserve">Журнал событий и запись любой сессии — для разбора спорного результата</w:t>
            </w:r>
          </w:p>
        </w:tc>
      </w:tr>
    </w:tbl>
    <w:bookmarkEnd w:id="21"/>
    <w:bookmarkEnd w:id="22"/>
    <w:bookmarkStart w:id="28" w:name="механика-подбора-и-категоризация"/>
    <w:p>
      <w:pPr>
        <w:pStyle w:val="Heading2"/>
      </w:pPr>
      <w:r>
        <w:t xml:space="preserve">5. Механика подбора и категоризация</w:t>
      </w:r>
    </w:p>
    <w:bookmarkStart w:id="23"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3"/>
    <w:bookmarkStart w:id="24" w:name="сценарий-выхода-на-контакт"/>
    <w:p>
      <w:pPr>
        <w:pStyle w:val="Heading3"/>
      </w:pPr>
      <w:r>
        <w:t xml:space="preserve">5.2. Сценарий выхода на контакт</w:t>
      </w:r>
    </w:p>
    <w:p>
      <w:pPr>
        <w:pStyle w:val="Compact"/>
        <w:numPr>
          <w:ilvl w:val="0"/>
          <w:numId w:val="1005"/>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5"/>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5"/>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ФСП / заявлен», достижения ФСП, опыт (названия компаний — по желанию кандидата), ожидания. Без имени и контактов.</w:t>
      </w:r>
    </w:p>
    <w:p>
      <w:pPr>
        <w:pStyle w:val="Compact"/>
        <w:numPr>
          <w:ilvl w:val="0"/>
          <w:numId w:val="1005"/>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5"/>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5"/>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5"/>
        </w:numPr>
      </w:pPr>
      <w:r>
        <w:t xml:space="preserve">После принятия работодатель получает контакты; каждое обращение к контактам записывается в журнал.</w:t>
      </w:r>
    </w:p>
    <w:bookmarkEnd w:id="24"/>
    <w:bookmarkStart w:id="25"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 ФСП — 1,0;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w:t>
            </w:r>
          </w:p>
        </w:tc>
      </w:tr>
    </w:tbl>
    <w:p>
      <w:pPr>
        <w:pStyle w:val="BodyText"/>
      </w:pPr>
      <w:r>
        <w:t xml:space="preserve">Признаки без данных (нет желательных навыков, нет описания)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w:t>
      </w:r>
    </w:p>
    <w:bookmarkEnd w:id="25"/>
    <w:bookmarkStart w:id="26"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6"/>
    <w:bookmarkStart w:id="27" w:name="X61acb05b6b3c901173b1801d694003360cc7ace"/>
    <w:p>
      <w:pPr>
        <w:pStyle w:val="Heading3"/>
      </w:pPr>
      <w:r>
        <w:t xml:space="preserve">5.5. Чем это отличается от отклика на вакансию</w:t>
      </w:r>
    </w:p>
    <w:p>
      <w:pPr>
        <w:pStyle w:val="Compact"/>
        <w:numPr>
          <w:ilvl w:val="0"/>
          <w:numId w:val="1006"/>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6"/>
        </w:numPr>
      </w:pPr>
      <w:r>
        <w:t xml:space="preserve">Условия — в первом же сообщении: кандидат решает, тратить ли время.</w:t>
      </w:r>
    </w:p>
    <w:p>
      <w:pPr>
        <w:pStyle w:val="Compact"/>
        <w:numPr>
          <w:ilvl w:val="0"/>
          <w:numId w:val="1006"/>
        </w:numPr>
      </w:pPr>
      <w:r>
        <w:rPr>
          <w:b/>
          <w:bCs/>
        </w:rPr>
        <w:t xml:space="preserve">Квота</w:t>
      </w:r>
      <w:r>
        <w:t xml:space="preserve">: не более 30 приглашений компании за 7 дней и одно действующее приглашение на пару «компания–кандидат». Работодатель выбирает точечно, кандидат не тонет в спаме.</w:t>
      </w:r>
    </w:p>
    <w:p>
      <w:pPr>
        <w:pStyle w:val="Compact"/>
        <w:numPr>
          <w:ilvl w:val="0"/>
          <w:numId w:val="1006"/>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6"/>
        </w:numPr>
      </w:pPr>
      <w:r>
        <w:t xml:space="preserve">Классический отклик остаётся дополнительным путём: контакты раскрываются и при собственном отклике.</w:t>
      </w:r>
    </w:p>
    <w:bookmarkEnd w:id="27"/>
    <w:bookmarkEnd w:id="28"/>
    <w:bookmarkStart w:id="33"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29"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(заявленный грейд → при провале грейд ниже).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87,7 %</w:t>
            </w:r>
          </w:p>
        </w:tc>
        <w:tc>
          <w:tcPr/>
          <w:p>
            <w:pPr>
              <w:pStyle w:val="Compact"/>
              <w:jc w:val="left"/>
            </w:pPr>
            <w:r>
              <w:t xml:space="preserve">80,2 %</w:t>
            </w:r>
          </w:p>
        </w:tc>
        <w:tc>
          <w:tcPr/>
          <w:p>
            <w:pPr>
              <w:pStyle w:val="Compact"/>
              <w:jc w:val="left"/>
            </w:pPr>
            <w:r>
              <w:t xml:space="preserve">99,2 %</w:t>
            </w:r>
          </w:p>
        </w:tc>
        <w:tc>
          <w:tcPr/>
          <w:p>
            <w:pPr>
              <w:pStyle w:val="Compact"/>
              <w:jc w:val="left"/>
            </w:pPr>
            <w:r>
              <w:t xml:space="preserve">80,1 %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13,4</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29"/>
    <w:bookmarkStart w:id="30"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(~42 тыс.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0"/>
    <w:bookmarkStart w:id="31"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1"/>
    <w:bookmarkStart w:id="32" w:name="ограничения-и-экспертная-проверка"/>
    <w:p>
      <w:pPr>
        <w:pStyle w:val="Heading3"/>
      </w:pPr>
      <w:r>
        <w:t xml:space="preserve">6.4.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согласованность экспертов (κ) и Precision@10 считаются тем же модулем</w:t>
      </w:r>
      <w:r>
        <w:t xml:space="preserve"> </w:t>
      </w:r>
      <w:r>
        <w:rPr>
          <w:rStyle w:val="VerbatimChar"/>
        </w:rPr>
        <w:t xml:space="preserve">validate</w:t>
      </w:r>
      <w:r>
        <w:t xml:space="preserve">.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2"/>
    <w:bookmarkEnd w:id="33"/>
    <w:bookmarkStart w:id="37" w:name="интеграция-с-фсп"/>
    <w:p>
      <w:pPr>
        <w:pStyle w:val="Heading2"/>
      </w:pPr>
      <w:r>
        <w:t xml:space="preserve">7. Интеграция с ФСП</w:t>
      </w:r>
    </w:p>
    <w:bookmarkStart w:id="34"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7"/>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7"/>
        </w:numPr>
      </w:pPr>
      <w:r>
        <w:t xml:space="preserve">Один ФСП ID можно привязать только к одному профилю. Отвязка удаляет снимок достижений.</w:t>
      </w:r>
    </w:p>
    <w:p>
      <w:pPr>
        <w:pStyle w:val="Compact"/>
        <w:numPr>
          <w:ilvl w:val="0"/>
          <w:numId w:val="1007"/>
        </w:numPr>
      </w:pPr>
      <w:r>
        <w:t xml:space="preserve">Если реестр недоступен, привязка сохраняется, синхронизация повторяется позже.</w:t>
      </w:r>
    </w:p>
    <w:p>
      <w:pPr>
        <w:pStyle w:val="Compact"/>
        <w:numPr>
          <w:ilvl w:val="0"/>
          <w:numId w:val="1007"/>
        </w:numPr>
      </w:pPr>
      <w:r>
        <w:t xml:space="preserve">Для интеграции с реальным реестром достаточно заменить адрес реестра и выдать API клиентские учётные данные Keycloak (client credentials или token exchange).</w:t>
      </w:r>
    </w:p>
    <w:bookmarkEnd w:id="34"/>
    <w:bookmarkStart w:id="35"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5"/>
    <w:bookmarkStart w:id="36"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w:t>
      </w:r>
    </w:p>
    <w:bookmarkEnd w:id="36"/>
    <w:bookmarkEnd w:id="37"/>
    <w:bookmarkStart w:id="42" w:name="безопасность-и-152-фз"/>
    <w:p>
      <w:pPr>
        <w:pStyle w:val="Heading2"/>
      </w:pPr>
      <w:r>
        <w:t xml:space="preserve">8. Безопасность и 152-ФЗ</w:t>
      </w:r>
    </w:p>
    <w:bookmarkStart w:id="38" w:name="аутентификация"/>
    <w:p>
      <w:pPr>
        <w:pStyle w:val="Heading3"/>
      </w:pPr>
      <w:r>
        <w:t xml:space="preserve">8.1. Аутентификация</w:t>
      </w:r>
    </w:p>
    <w:p>
      <w:pPr>
        <w:pStyle w:val="Compact"/>
        <w:numPr>
          <w:ilvl w:val="0"/>
          <w:numId w:val="1008"/>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08"/>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w:t>
      </w:r>
    </w:p>
    <w:p>
      <w:pPr>
        <w:pStyle w:val="Compact"/>
        <w:numPr>
          <w:ilvl w:val="0"/>
          <w:numId w:val="1008"/>
        </w:numPr>
      </w:pPr>
      <w:r>
        <w:t xml:space="preserve">Защита от CSRF: изменяющие запросы с cookie принимаются только с собственного Origin.</w:t>
      </w:r>
    </w:p>
    <w:p>
      <w:pPr>
        <w:pStyle w:val="Compact"/>
        <w:numPr>
          <w:ilvl w:val="0"/>
          <w:numId w:val="1008"/>
        </w:numPr>
      </w:pPr>
      <w:r>
        <w:t xml:space="preserve">Ограничение частоты: вход, регистрация, повторные письма, приглашения, жалобы.</w:t>
      </w:r>
    </w:p>
    <w:bookmarkEnd w:id="38"/>
    <w:bookmarkStart w:id="39" w:name="персональные-данные"/>
    <w:p>
      <w:pPr>
        <w:pStyle w:val="Heading3"/>
      </w:pPr>
      <w:r>
        <w:t xml:space="preserve">8.2. Персональные данные</w:t>
      </w:r>
    </w:p>
    <w:p>
      <w:pPr>
        <w:pStyle w:val="Compact"/>
        <w:numPr>
          <w:ilvl w:val="0"/>
          <w:numId w:val="1009"/>
        </w:numPr>
      </w:pPr>
      <w:r>
        <w:t xml:space="preserve">Email, ФИО и контакты кандидата хранятся зашифрованными (XChaCha20-Poly1305); поиск по email — через keyed-хеш (blind index).</w:t>
      </w:r>
    </w:p>
    <w:p>
      <w:pPr>
        <w:pStyle w:val="Compact"/>
        <w:numPr>
          <w:ilvl w:val="0"/>
          <w:numId w:val="1009"/>
        </w:numPr>
      </w:pPr>
      <w:r>
        <w:t xml:space="preserve">Версионированные согласия на обработку и публикацию с фиксацией времени, IP и User-Agent; отзыв согласия на публикацию скрывает профиль.</w:t>
      </w:r>
    </w:p>
    <w:p>
      <w:pPr>
        <w:pStyle w:val="Compact"/>
        <w:numPr>
          <w:ilvl w:val="0"/>
          <w:numId w:val="1009"/>
        </w:numPr>
      </w:pPr>
      <w:r>
        <w:t xml:space="preserve">Удаление аккаунта стирает персональные данные.</w:t>
      </w:r>
    </w:p>
    <w:p>
      <w:pPr>
        <w:pStyle w:val="Compact"/>
        <w:numPr>
          <w:ilvl w:val="0"/>
          <w:numId w:val="1009"/>
        </w:numPr>
      </w:pPr>
      <w:r>
        <w:t xml:space="preserve">Журнал доступа к контактам: кто, когда, на каком основании.</w:t>
      </w:r>
    </w:p>
    <w:p>
      <w:pPr>
        <w:pStyle w:val="Compact"/>
        <w:numPr>
          <w:ilvl w:val="0"/>
          <w:numId w:val="1009"/>
        </w:numPr>
      </w:pPr>
      <w:r>
        <w:t xml:space="preserve">Хранение — на сервере в РФ.</w:t>
      </w:r>
    </w:p>
    <w:p>
      <w:pPr>
        <w:pStyle w:val="FirstParagraph"/>
      </w:pPr>
      <w:r>
        <w:rPr>
          <w:b/>
          <w:bCs/>
        </w:rPr>
        <w:t xml:space="preserve">Видеозапись теста</w:t>
      </w:r>
      <w:r>
        <w:t xml:space="preserve"> </w:t>
      </w:r>
      <w:r>
        <w:t xml:space="preserve">(§4.7):</w:t>
      </w:r>
    </w:p>
    <w:p>
      <w:pPr>
        <w:pStyle w:val="Compact"/>
        <w:numPr>
          <w:ilvl w:val="0"/>
          <w:numId w:val="1010"/>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0"/>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0"/>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0"/>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0"/>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0"/>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39"/>
    <w:bookmarkStart w:id="40" w:name="разграничение-доступа"/>
    <w:p>
      <w:pPr>
        <w:pStyle w:val="Heading3"/>
      </w:pPr>
      <w:r>
        <w:t xml:space="preserve">8.3. Разграничение доступа</w:t>
      </w:r>
    </w:p>
    <w:p>
      <w:pPr>
        <w:pStyle w:val="Compact"/>
        <w:numPr>
          <w:ilvl w:val="0"/>
          <w:numId w:val="1011"/>
        </w:numPr>
      </w:pPr>
      <w:r>
        <w:t xml:space="preserve">Роли кандидата и работодателя проверяются на уровне маршрутов; кандидат видит только свои приглашения, отклики и тесты, чужие ресурсы возвращают 404.</w:t>
      </w:r>
    </w:p>
    <w:p>
      <w:pPr>
        <w:pStyle w:val="Compact"/>
        <w:numPr>
          <w:ilvl w:val="0"/>
          <w:numId w:val="1011"/>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1"/>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0"/>
    <w:bookmarkStart w:id="41"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1"/>
    <w:bookmarkEnd w:id="42"/>
    <w:bookmarkStart w:id="43"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87 операций на 74 путях.</w:t>
      </w:r>
    </w:p>
    <w:p>
      <w:pPr>
        <w:pStyle w:val="Compact"/>
        <w:numPr>
          <w:ilvl w:val="0"/>
          <w:numId w:val="1012"/>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pStyle w:val="Compact"/>
        <w:numPr>
          <w:ilvl w:val="0"/>
          <w:numId w:val="1012"/>
        </w:numPr>
      </w:pPr>
      <w:r>
        <w:t xml:space="preserve">Формат: JSON, даты RFC 3339, деньги — целые рубли.</w:t>
      </w:r>
    </w:p>
    <w:p>
      <w:pPr>
        <w:pStyle w:val="Compact"/>
        <w:numPr>
          <w:ilvl w:val="0"/>
          <w:numId w:val="1012"/>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 404 и для чужих ресурсов; 409 — конфликт состояния; 422 — ошибки полей; 429 — лимит.</w:t>
      </w:r>
    </w:p>
    <w:p>
      <w:pPr>
        <w:pStyle w:val="Compact"/>
        <w:numPr>
          <w:ilvl w:val="0"/>
          <w:numId w:val="1012"/>
        </w:numPr>
      </w:pPr>
      <w:r>
        <w:t xml:space="preserve">Аутентификация: httpOnly-cookie или заголовок</w:t>
      </w:r>
      <w:r>
        <w:t xml:space="preserve"> </w:t>
      </w:r>
      <w:r>
        <w:rPr>
          <w:rStyle w:val="VerbatimChar"/>
        </w:rPr>
        <w:t xml:space="preserve">Authorization: Bearer</w:t>
      </w:r>
      <w:r>
        <w:t xml:space="preserve">.</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и их отзыв, удаление аккаунта, жалобы</w:t>
            </w:r>
          </w:p>
        </w:tc>
        <w:tc>
          <w:tcPr/>
          <w:p>
            <w:pPr>
              <w:pStyle w:val="Compact"/>
              <w:jc w:val="left"/>
            </w:pPr>
            <w:r>
              <w:t xml:space="preserve">5</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опрос, статистика спроса</w:t>
            </w:r>
          </w:p>
        </w:tc>
        <w:tc>
          <w:tcPr/>
          <w:p>
            <w:pPr>
              <w:pStyle w:val="Compact"/>
              <w:jc w:val="left"/>
            </w:pPr>
            <w:r>
              <w:t xml:space="preserve">9</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 для администратора — журнал и запись любой сессии</w:t>
            </w:r>
          </w:p>
        </w:tc>
        <w:tc>
          <w:tcPr/>
          <w:p>
            <w:pPr>
              <w:pStyle w:val="Compact"/>
              <w:jc w:val="left"/>
            </w:pPr>
            <w:r>
              <w:t xml:space="preserve">6</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w:t>
            </w:r>
          </w:p>
        </w:tc>
        <w:tc>
          <w:tcPr/>
          <w:p>
            <w:pPr>
              <w:pStyle w:val="Compact"/>
              <w:jc w:val="left"/>
            </w:pPr>
            <w:r>
              <w:t xml:space="preserve">6</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bl>
    <w:bookmarkEnd w:id="43"/>
    <w:bookmarkStart w:id="44" w:name="вне-mvp-концепции"/>
    <w:p>
      <w:pPr>
        <w:pStyle w:val="Heading2"/>
      </w:pPr>
      <w:r>
        <w:t xml:space="preserve">10. Вне MVP: концепции</w:t>
      </w:r>
    </w:p>
    <w:p>
      <w:pPr>
        <w:pStyle w:val="FirstParagraph"/>
      </w:pPr>
      <w:r>
        <w:rPr>
          <w:b/>
          <w:bCs/>
        </w:rPr>
        <w:t xml:space="preserve">Защита от фиктивных вакансий и недобросовестных работодателей.</w:t>
      </w:r>
      <w:r>
        <w:t xml:space="preserve"> </w:t>
      </w:r>
      <w:r>
        <w:t xml:space="preserve">Уже работают: обязательная вилка, квота приглашений, срок жизни приглашения, жалобы. Следующий шаг: подтверждение корпоративного домена email и проверка ИНН/ОГРН по ЕГРЮЛ; рейтинг работодателя по доле ответов и жалобам; сравнение вилки с рынком категории (слишком высокая — подозрительно); поиск почти дублирующихся вакансий по эмбеддингам; ручная модерация по сигналам.</w:t>
      </w:r>
    </w:p>
    <w:p>
      <w:pPr>
        <w:pStyle w:val="BodyText"/>
      </w:pPr>
      <w:r>
        <w:rPr>
          <w:b/>
          <w:bCs/>
        </w:rPr>
        <w:t xml:space="preserve">Интеграция с ATS.</w:t>
      </w:r>
      <w:r>
        <w:t xml:space="preserve"> </w:t>
      </w:r>
      <w:r>
        <w:t xml:space="preserve">API-ключи компании с областями доступа; вебхуки на смену статусов приглашений и откликов; экспорт принятого кандидата в JSON Resume; коннекторы к популярным ATS через вебхуки и REST.</w:t>
      </w:r>
    </w:p>
    <w:p>
      <w:pPr>
        <w:pStyle w:val="BodyText"/>
      </w:pPr>
      <w:r>
        <w:rPr>
          <w:b/>
          <w:bCs/>
        </w:rPr>
        <w:t xml:space="preserve">Масштабирование.</w:t>
      </w:r>
      <w:r>
        <w:t xml:space="preserve"> </w:t>
      </w:r>
      <w:r>
        <w:t xml:space="preserve">API без состояния за балансировщиком; общие лимиты в Valkey; реплика PostgreSQL на чтение; эмбеддинги текстов (pgvector) — отдельным воркером; аналитика событий — выгрузка изменений в ClickHouse.</w:t>
      </w:r>
    </w:p>
    <w:bookmarkEnd w:id="44"/>
    <w:bookmarkStart w:id="45"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шрифта).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(сборка — 1.97)</w:t>
            </w:r>
          </w:p>
        </w:tc>
        <w:tc>
          <w:tcPr/>
          <w:p>
            <w:pPr>
              <w:pStyle w:val="Compact"/>
              <w:jc w:val="left"/>
            </w:pPr>
            <w:r>
              <w:t xml:space="preserve">Язык backend</w:t>
            </w:r>
          </w:p>
        </w:tc>
      </w:tr>
      <w:tr>
        <w:tc>
          <w:tcPr/>
          <w:p>
            <w:pPr>
              <w:pStyle w:val="Compact"/>
              <w:jc w:val="left"/>
            </w:pPr>
            <w:r>
              <w:t xml:space="preserve">axum / tokio</w:t>
            </w:r>
          </w:p>
        </w:tc>
        <w:tc>
          <w:tcPr/>
          <w:p>
            <w:pPr>
              <w:pStyle w:val="Compact"/>
              <w:jc w:val="left"/>
            </w:pPr>
            <w:r>
              <w:t xml:space="preserve">0.8.9 / 1.53</w:t>
            </w:r>
          </w:p>
        </w:tc>
        <w:tc>
          <w:tcPr/>
          <w:p>
            <w:pPr>
              <w:pStyle w:val="Compact"/>
              <w:jc w:val="left"/>
            </w:pPr>
            <w:r>
              <w:t xml:space="preserve">HTTP-сервер и асинхронный рантайм</w:t>
            </w:r>
          </w:p>
        </w:tc>
      </w:tr>
      <w:tr>
        <w:tc>
          <w:tcPr/>
          <w:p>
            <w:pPr>
              <w:pStyle w:val="Compact"/>
              <w:jc w:val="left"/>
            </w:pPr>
            <w:r>
              <w:t xml:space="preserve">sqlx</w:t>
            </w:r>
          </w:p>
        </w:tc>
        <w:tc>
          <w:tcPr/>
          <w:p>
            <w:pPr>
              <w:pStyle w:val="Compact"/>
              <w:jc w:val="left"/>
            </w:pPr>
            <w:r>
              <w:t xml:space="preserve">0.8.6</w:t>
            </w:r>
          </w:p>
        </w:tc>
        <w:tc>
          <w:tcPr/>
          <w:p>
            <w:pPr>
              <w:pStyle w:val="Compact"/>
              <w:jc w:val="left"/>
            </w:pPr>
            <w:r>
              <w:t xml:space="preserve">PostgreSQL: пул, запросы с проверкой при компиляции, 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w:t>
            </w:r>
          </w:p>
        </w:tc>
        <w:tc>
          <w:tcPr/>
          <w:p>
            <w:pPr>
              <w:pStyle w:val="Compact"/>
              <w:jc w:val="left"/>
            </w:pPr>
            <w:r>
              <w:t xml:space="preserve">0.5.3 / 0.10.1 / 2.2 / 11.1</w:t>
            </w:r>
          </w:p>
        </w:tc>
        <w:tc>
          <w:tcPr/>
          <w:p>
            <w:pPr>
              <w:pStyle w:val="Compact"/>
              <w:jc w:val="left"/>
            </w:pPr>
            <w:r>
              <w:t xml:space="preserve">Криптография и токены</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и deny-list</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w:t>
            </w:r>
          </w:p>
        </w:tc>
        <w:tc>
          <w:tcPr/>
          <w:p>
            <w:pPr>
              <w:pStyle w:val="Compact"/>
              <w:jc w:val="left"/>
            </w:pPr>
            <w:r>
              <w:t xml:space="preserve">0.13</w:t>
            </w:r>
          </w:p>
        </w:tc>
        <w:tc>
          <w:tcPr/>
          <w:p>
            <w:pPr>
              <w:pStyle w:val="Compact"/>
              <w:jc w:val="left"/>
            </w:pPr>
            <w:r>
              <w:t xml:space="preserve">Запросы к ФСП ID и реестру</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w:t>
            </w:r>
          </w:p>
        </w:tc>
        <w:tc>
          <w:tcPr/>
          <w:p>
            <w:pPr>
              <w:pStyle w:val="Compact"/>
              <w:jc w:val="left"/>
            </w:pPr>
            <w:r>
              <w:t xml:space="preserve">Frontend</w:t>
            </w:r>
          </w:p>
        </w:tc>
      </w:tr>
      <w:tr>
        <w:tc>
          <w:tcPr/>
          <w:p>
            <w:pPr>
              <w:pStyle w:val="Compact"/>
              <w:jc w:val="left"/>
            </w:pPr>
            <w:r>
              <w:t xml:space="preserve">TanStack Query / openapi-fetch / openapi-typescript</w:t>
            </w:r>
          </w:p>
        </w:tc>
        <w:tc>
          <w:tcPr/>
          <w:p>
            <w:pPr>
              <w:pStyle w:val="Compact"/>
              <w:jc w:val="left"/>
            </w:pPr>
            <w:r>
              <w:t xml:space="preserve">5 / 0.17 / 7</w:t>
            </w:r>
          </w:p>
        </w:tc>
        <w:tc>
          <w:tcPr/>
          <w:p>
            <w:pPr>
              <w:pStyle w:val="Compact"/>
              <w:jc w:val="left"/>
            </w:pPr>
            <w:r>
              <w:t xml:space="preserve">Данные и клиент из OpenAPI</w:t>
            </w:r>
          </w:p>
        </w:tc>
      </w:tr>
      <w:tr>
        <w:tc>
          <w:tcPr/>
          <w:p>
            <w:pPr>
              <w:pStyle w:val="Compact"/>
              <w:jc w:val="left"/>
            </w:pPr>
            <w:r>
              <w:t xml:space="preserve">Tailwind CSS / react-hook-form / zod</w:t>
            </w:r>
          </w:p>
        </w:tc>
        <w:tc>
          <w:tcPr/>
          <w:p>
            <w:pPr>
              <w:pStyle w:val="Compact"/>
              <w:jc w:val="left"/>
            </w:pPr>
            <w:r>
              <w:t xml:space="preserve">4 / 7 / 4</w:t>
            </w:r>
          </w:p>
        </w:tc>
        <w:tc>
          <w:tcPr/>
          <w:p>
            <w:pPr>
              <w:pStyle w:val="Compact"/>
              <w:jc w:val="left"/>
            </w:pPr>
            <w:r>
              <w:t xml:space="preserve">Стили и формы</w:t>
            </w:r>
          </w:p>
        </w:tc>
      </w:tr>
      <w:tr>
        <w:tc>
          <w:tcPr/>
          <w:p>
            <w:pPr>
              <w:pStyle w:val="Compact"/>
              <w:jc w:val="left"/>
            </w:pPr>
            <w:r>
              <w:t xml:space="preserve">GSAP (+ScrollTrigger, SplitText)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w:t>
            </w:r>
          </w:p>
        </w:tc>
      </w:tr>
    </w:tbl>
    <w:bookmarkEnd w:id="45"/>
    <w:bookmarkStart w:id="49" w:name="сборка-развёртывание-и-запуск"/>
    <w:p>
      <w:pPr>
        <w:pStyle w:val="Heading2"/>
      </w:pPr>
      <w:r>
        <w:t xml:space="preserve">12. Сборка, развёртывание и запуск</w:t>
      </w:r>
    </w:p>
    <w:bookmarkStart w:id="46"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подтверждения</w:t>
            </w:r>
          </w:p>
        </w:tc>
        <w:tc>
          <w:tcPr/>
          <w:p>
            <w:pPr>
              <w:pStyle w:val="Compact"/>
              <w:jc w:val="left"/>
            </w:pPr>
            <w:r>
              <w:t xml:space="preserve">http://localhost:8025</w:t>
            </w:r>
          </w:p>
        </w:tc>
      </w:tr>
      <w:tr>
        <w:tc>
          <w:tcPr/>
          <w:p>
            <w:pPr>
              <w:pStyle w:val="Compact"/>
              <w:jc w:val="left"/>
            </w:pPr>
            <w:r>
              <w:t xml:space="preserve">ФСП ID (Keycloak)</w:t>
            </w:r>
          </w:p>
        </w:tc>
        <w:tc>
          <w:tcPr/>
          <w:p>
            <w:pPr>
              <w:pStyle w:val="Compact"/>
              <w:jc w:val="left"/>
            </w:pPr>
            <w:r>
              <w:t xml:space="preserve">http://localhost:8081</w:t>
            </w:r>
          </w:p>
        </w:tc>
      </w:tr>
      <w:tr>
        <w:tc>
          <w:tcPr/>
          <w:p>
            <w:pPr>
              <w:pStyle w:val="Compact"/>
              <w:jc w:val="left"/>
            </w:pPr>
            <w:r>
              <w:t xml:space="preserve">Grafana</w:t>
            </w:r>
          </w:p>
        </w:tc>
        <w:tc>
          <w:tcPr/>
          <w:p>
            <w:pPr>
              <w:pStyle w:val="Compact"/>
              <w:jc w:val="left"/>
            </w:pPr>
            <w:r>
              <w:t xml:space="preserve">http://localhost:3001</w:t>
            </w:r>
          </w:p>
        </w:tc>
      </w:tr>
    </w:tbl>
    <w:p>
      <w:pPr>
        <w:pStyle w:val="BodyText"/>
      </w:pPr>
      <w:r>
        <w:t xml:space="preserve">При первом старте API применяет миграции и заполняет демо-данные: 6 вымышленных компаний, 12 вакансий, 240 кандидатов с симулированными тестами, 15 из них с ФСП.</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кандидат</w:t>
      </w:r>
      <w:r>
        <w:t xml:space="preserve"> </w:t>
      </w:r>
      <w:r>
        <w:rPr>
          <w:rStyle w:val="VerbatimChar"/>
        </w:rPr>
        <w:t xml:space="preserve">candidate@demo.fsp</w:t>
      </w:r>
      <w:r>
        <w:t xml:space="preserve">, кандидаты</w:t>
      </w:r>
      <w:r>
        <w:t xml:space="preserve"> </w:t>
      </w:r>
      <w:r>
        <w:rPr>
          <w:rStyle w:val="VerbatimChar"/>
        </w:rPr>
        <w:t xml:space="preserve">cand1@demo.fsp</w:t>
      </w:r>
      <w:r>
        <w:t xml:space="preserve">…, участники ФСП ID в Keycloak</w:t>
      </w:r>
      <w:r>
        <w:t xml:space="preserve"> </w:t>
      </w:r>
      <w:r>
        <w:rPr>
          <w:rStyle w:val="VerbatimChar"/>
        </w:rPr>
        <w:t xml:space="preserve">fsp-000001</w:t>
      </w:r>
      <w:r>
        <w:t xml:space="preserve">…</w:t>
      </w:r>
      <w:r>
        <w:rPr>
          <w:rStyle w:val="VerbatimChar"/>
        </w:rPr>
        <w:t xml:space="preserve">fsp-000010</w:t>
      </w:r>
      <w:r>
        <w:t xml:space="preserve">.</w:t>
      </w:r>
    </w:p>
    <w:bookmarkEnd w:id="46"/>
    <w:bookmarkStart w:id="47"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FunctionTok"/>
        </w:rPr>
        <w:t xml:space="preserve">make</w:t>
      </w:r>
      <w:r>
        <w:rPr>
          <w:rStyle w:val="NormalTok"/>
        </w:rPr>
        <w:t xml:space="preserve"> api      </w:t>
      </w:r>
      <w:r>
        <w:rPr>
          <w:rStyle w:val="CommentTok"/>
        </w:rPr>
        <w:t xml:space="preserve"># API на :8000 (миграции при старте; ФСП ID — dev-привязкой)</w:t>
      </w:r>
      <w:r>
        <w:br/>
      </w:r>
      <w:r>
        <w:rPr>
          <w:rStyle w:val="FunctionTok"/>
        </w:rPr>
        <w:t xml:space="preserve">make</w:t>
      </w:r>
      <w:r>
        <w:rPr>
          <w:rStyle w:val="NormalTok"/>
        </w:rPr>
        <w:t xml:space="preserve"> web      </w:t>
      </w:r>
      <w:r>
        <w:rPr>
          <w:rStyle w:val="CommentTok"/>
        </w:rPr>
        <w:t xml:space="preserve"># интерфейс на :3000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тесты; тесты БД создают временные базы в локальном PostgreSQL</w:t>
      </w:r>
    </w:p>
    <w:p>
      <w:pPr>
        <w:pStyle w:val="FirstParagraph"/>
      </w:pPr>
      <w:r>
        <w:t xml:space="preserve">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47"/>
    <w:bookmarkStart w:id="48" w:name="для-vps"/>
    <w:p>
      <w:pPr>
        <w:pStyle w:val="Heading3"/>
      </w:pPr>
      <w:r>
        <w:t xml:space="preserve">12.3. Для VPS</w:t>
      </w:r>
    </w:p>
    <w:p>
      <w:pPr>
        <w:pStyle w:val="FirstParagraph"/>
      </w:pPr>
      <w:r>
        <w:t xml:space="preserve">Задать в</w:t>
      </w:r>
      <w:r>
        <w:t xml:space="preserve"> </w:t>
      </w:r>
      <w:r>
        <w:rPr>
          <w:rStyle w:val="VerbatimChar"/>
        </w:rPr>
        <w:t xml:space="preserve">.env</w:t>
      </w:r>
      <w:r>
        <w:t xml:space="preserve"> </w:t>
      </w:r>
      <w:r>
        <w:t xml:space="preserve">публичные адреса (</w:t>
      </w:r>
      <w:r>
        <w:rPr>
          <w:rStyle w:val="VerbatimChar"/>
        </w:rPr>
        <w:t xml:space="preserve">PUBLIC_URL</w:t>
      </w:r>
      <w:r>
        <w:t xml:space="preserve">,</w:t>
      </w:r>
      <w:r>
        <w:t xml:space="preserve"> </w:t>
      </w:r>
      <w:r>
        <w:rPr>
          <w:rStyle w:val="VerbatimChar"/>
        </w:rPr>
        <w:t xml:space="preserve">KC_HOSTNAME</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включить</w:t>
      </w:r>
      <w:r>
        <w:t xml:space="preserve"> </w:t>
      </w:r>
      <w:r>
        <w:rPr>
          <w:rStyle w:val="VerbatimChar"/>
        </w:rPr>
        <w:t xml:space="preserve">COOKIE_SECURE=true</w:t>
      </w:r>
      <w:r>
        <w:t xml:space="preserve"> </w:t>
      </w:r>
      <w:r>
        <w:t xml:space="preserve">(камера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 сгенерировать новые ключи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байта в base64) сменить пароли Keycloak и Grafana и указать в</w:t>
      </w:r>
      <w:r>
        <w:t xml:space="preserve"> </w:t>
      </w:r>
      <w:r>
        <w:rPr>
          <w:rStyle w:val="VerbatimChar"/>
        </w:rPr>
        <w:t xml:space="preserve">deploy/Caddyfile</w:t>
      </w:r>
      <w:r>
        <w:t xml:space="preserve"> </w:t>
      </w:r>
      <w:r>
        <w:t xml:space="preserve">домен вместо</w:t>
      </w:r>
      <w:r>
        <w:t xml:space="preserve"> </w:t>
      </w:r>
      <w:r>
        <w:rPr>
          <w:rStyle w:val="VerbatimChar"/>
        </w:rPr>
        <w:t xml:space="preserve">:8080</w:t>
      </w:r>
      <w:r>
        <w:t xml:space="preserve"> </w:t>
      </w:r>
      <w:r>
        <w:t xml:space="preserve">— Caddy сам получит TLS-сертификат.</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