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59"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(§4.7, §8.2).</w:t>
      </w:r>
    </w:p>
    <w:bookmarkEnd w:id="9"/>
    <w:bookmarkStart w:id="12"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очередь модерации (§10.1). Дальше — ЕГРЮЛ и модерация с решениями</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End w:id="12"/>
    <w:bookmarkStart w:id="13"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 (+pgvector)</w:t>
      </w:r>
      <w:r>
        <w:br/>
      </w:r>
      <w:r>
        <w:rPr>
          <w:rStyle w:val="VerbatimChar"/>
        </w:rPr>
        <w:t xml:space="preserve">             │  :8080     │                        │   API    │ ──▶ Valkey (лимиты, deny-list)</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реестр достижений ФСП (заглушка)</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(App Router, TypeScript) с клиентом, сгенерированным из OpenAPI. Права проверяет только API.</w:t>
      </w:r>
    </w:p>
    <w:p>
      <w:pPr>
        <w:pStyle w:val="BodyText"/>
      </w:pPr>
      <w:r>
        <w:t xml:space="preserve">Данные: PostgreSQL — пользователи (email и ФИО зашифрованы), профили, навыки с источником (заявлен / из резюме / подтверждён тестом / ФСП), сессии тестов (хранятся только ссылки на экземпляры заданий), история грейдов, потребности и сохранённые подборки, приглашения и их история, журнал доступа к контактам, согласия.</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API в работе занимает несколько мегабайт памяти, весь стек укладывается в недорогой VPS.</w:t>
      </w:r>
    </w:p>
    <w:bookmarkEnd w:id="13"/>
    <w:bookmarkStart w:id="14" w:name="справочники"/>
    <w:p>
      <w:pPr>
        <w:pStyle w:val="Heading2"/>
      </w:pPr>
      <w:r>
        <w:t xml:space="preserve">3. Справочники</w:t>
      </w:r>
    </w:p>
    <w:p>
      <w:pPr>
        <w:pStyle w:val="Compact"/>
        <w:numPr>
          <w:ilvl w:val="0"/>
          <w:numId w:val="1002"/>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2"/>
        </w:numPr>
      </w:pPr>
      <w:r>
        <w:rPr>
          <w:b/>
          <w:bCs/>
        </w:rPr>
        <w:t xml:space="preserve">Грейды:</w:t>
      </w:r>
      <w:r>
        <w:t xml:space="preserve"> </w:t>
      </w:r>
      <w:r>
        <w:t xml:space="preserve">Junior, Middle, Senior. Пороги на шкале способности θ: −1, 0, +1.</w:t>
      </w:r>
    </w:p>
    <w:p>
      <w:pPr>
        <w:pStyle w:val="Compact"/>
        <w:numPr>
          <w:ilvl w:val="0"/>
          <w:numId w:val="1002"/>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4"/>
    <w:bookmarkStart w:id="22" w:name="механика-тестирования"/>
    <w:p>
      <w:pPr>
        <w:pStyle w:val="Heading2"/>
      </w:pPr>
      <w:r>
        <w:t xml:space="preserve">4. Механика тестирования</w:t>
      </w:r>
    </w:p>
    <w:bookmarkStart w:id="15"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3"/>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3"/>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5"/>
    <w:bookmarkStart w:id="16"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Каждый уровень каждого шаблона даёт не менее 1961 различимого экземпляра на 2000 случайных</w:t>
      </w:r>
      <w:r>
        <w:t xml:space="preserve"> </w:t>
      </w:r>
      <w:r>
        <w:rPr>
          <w:rStyle w:val="VerbatimChar"/>
        </w:rPr>
        <w:t xml:space="preserve">seed</w:t>
      </w:r>
      <w:r>
        <w:t xml:space="preserve">; это закреплено тестом.</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6"/>
    <w:bookmarkStart w:id="17"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из k вариантов,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случайный выбор среди пяти лучших (контроль экспозиции), квоты по темам,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но шкала и пороги остаются общими. Навыки из правильно решённых заданий получают отметку «подтверждён тестом».</w:t>
      </w:r>
    </w:p>
    <w:bookmarkEnd w:id="17"/>
    <w:bookmarkStart w:id="18"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~42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18"/>
    <w:bookmarkStart w:id="19" w:name="правила-смены-грейда"/>
    <w:p>
      <w:pPr>
        <w:pStyle w:val="Heading3"/>
      </w:pPr>
      <w:r>
        <w:t xml:space="preserve">4.5. Правила смены грейда</w:t>
      </w:r>
    </w:p>
    <w:p>
      <w:pPr>
        <w:pStyle w:val="Compact"/>
        <w:numPr>
          <w:ilvl w:val="0"/>
          <w:numId w:val="1004"/>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4"/>
        </w:numPr>
      </w:pPr>
      <w:r>
        <w:rPr>
          <w:b/>
          <w:bCs/>
        </w:rPr>
        <w:t xml:space="preserve">Уверенно сдал</w:t>
      </w:r>
      <w:r>
        <w:t xml:space="preserve"> </w:t>
      </w:r>
      <w:r>
        <w:t xml:space="preserve">— один раз сразу предлагается дотест на грейд выше.</w:t>
      </w:r>
    </w:p>
    <w:p>
      <w:pPr>
        <w:pStyle w:val="Compact"/>
        <w:numPr>
          <w:ilvl w:val="0"/>
          <w:numId w:val="1004"/>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w:t>
      </w:r>
    </w:p>
    <w:p>
      <w:pPr>
        <w:pStyle w:val="Compact"/>
        <w:numPr>
          <w:ilvl w:val="0"/>
          <w:numId w:val="1004"/>
        </w:numPr>
      </w:pPr>
      <w:r>
        <w:t xml:space="preserve">Кандидат видит текущую категорию, историю опросов, тестов и присвоений, доступные попытки и дату, когда откроется смена грейда.</w:t>
      </w:r>
    </w:p>
    <w:bookmarkEnd w:id="19"/>
    <w:bookmarkStart w:id="20"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0"/>
    <w:bookmarkStart w:id="21"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администратор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администратор, который может посмотреть запись.</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Администратор</w:t>
            </w:r>
          </w:p>
        </w:tc>
        <w:tc>
          <w:tcPr/>
          <w:p>
            <w:pPr>
              <w:pStyle w:val="Compact"/>
              <w:jc w:val="left"/>
            </w:pPr>
            <w:r>
              <w:t xml:space="preserve">Журнал событий и запись любой сессии — для разбора спорного результата</w:t>
            </w:r>
          </w:p>
        </w:tc>
      </w:tr>
    </w:tbl>
    <w:bookmarkEnd w:id="21"/>
    <w:bookmarkEnd w:id="22"/>
    <w:bookmarkStart w:id="28" w:name="механика-подбора-и-категоризация"/>
    <w:p>
      <w:pPr>
        <w:pStyle w:val="Heading2"/>
      </w:pPr>
      <w:r>
        <w:t xml:space="preserve">5. Механика подбора и категоризация</w:t>
      </w:r>
    </w:p>
    <w:bookmarkStart w:id="23"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3"/>
    <w:bookmarkStart w:id="24" w:name="сценарий-выхода-на-контакт"/>
    <w:p>
      <w:pPr>
        <w:pStyle w:val="Heading3"/>
      </w:pPr>
      <w:r>
        <w:t xml:space="preserve">5.2. Сценарий выхода на контакт</w:t>
      </w:r>
    </w:p>
    <w:p>
      <w:pPr>
        <w:pStyle w:val="Compact"/>
        <w:numPr>
          <w:ilvl w:val="0"/>
          <w:numId w:val="1005"/>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5"/>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5"/>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ФСП / заявлен», достижения ФСП, опыт (названия компаний — по желанию кандидата), ожидания. Без имени и контактов.</w:t>
      </w:r>
    </w:p>
    <w:p>
      <w:pPr>
        <w:pStyle w:val="Compact"/>
        <w:numPr>
          <w:ilvl w:val="0"/>
          <w:numId w:val="1005"/>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5"/>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5"/>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5"/>
        </w:numPr>
      </w:pPr>
      <w:r>
        <w:t xml:space="preserve">После принятия работодатель получает контакты; каждое обращение к контактам записывается в журнал.</w:t>
      </w:r>
    </w:p>
    <w:bookmarkEnd w:id="24"/>
    <w:bookmarkStart w:id="25"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 ФСП — 1,0;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w:t>
            </w:r>
          </w:p>
        </w:tc>
      </w:tr>
    </w:tbl>
    <w:p>
      <w:pPr>
        <w:pStyle w:val="BodyText"/>
      </w:pPr>
      <w:r>
        <w:t xml:space="preserve">Признаки без данных (нет желательных навыков, нет описания)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w:t>
      </w:r>
    </w:p>
    <w:bookmarkEnd w:id="25"/>
    <w:bookmarkStart w:id="26"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6"/>
    <w:bookmarkStart w:id="27" w:name="X61acb05b6b3c901173b1801d694003360cc7ace"/>
    <w:p>
      <w:pPr>
        <w:pStyle w:val="Heading3"/>
      </w:pPr>
      <w:r>
        <w:t xml:space="preserve">5.5. Чем это отличается от отклика на вакансию</w:t>
      </w:r>
    </w:p>
    <w:p>
      <w:pPr>
        <w:pStyle w:val="Compact"/>
        <w:numPr>
          <w:ilvl w:val="0"/>
          <w:numId w:val="1006"/>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6"/>
        </w:numPr>
      </w:pPr>
      <w:r>
        <w:t xml:space="preserve">Условия — в первом же сообщении: кандидат решает, тратить ли время.</w:t>
      </w:r>
    </w:p>
    <w:p>
      <w:pPr>
        <w:pStyle w:val="Compact"/>
        <w:numPr>
          <w:ilvl w:val="0"/>
          <w:numId w:val="1006"/>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6"/>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6"/>
        </w:numPr>
      </w:pPr>
      <w:r>
        <w:t xml:space="preserve">Классический отклик остаётся дополнительным путём: контакты раскрываются и при собственном отклике.</w:t>
      </w:r>
    </w:p>
    <w:bookmarkEnd w:id="27"/>
    <w:bookmarkEnd w:id="28"/>
    <w:bookmarkStart w:id="34"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29"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(заявленный грейд → при провале грейд ниже).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87,7 %</w:t>
            </w:r>
          </w:p>
        </w:tc>
        <w:tc>
          <w:tcPr/>
          <w:p>
            <w:pPr>
              <w:pStyle w:val="Compact"/>
              <w:jc w:val="left"/>
            </w:pPr>
            <w:r>
              <w:t xml:space="preserve">80,2 %</w:t>
            </w:r>
          </w:p>
        </w:tc>
        <w:tc>
          <w:tcPr/>
          <w:p>
            <w:pPr>
              <w:pStyle w:val="Compact"/>
              <w:jc w:val="left"/>
            </w:pPr>
            <w:r>
              <w:t xml:space="preserve">99,2 %</w:t>
            </w:r>
          </w:p>
        </w:tc>
        <w:tc>
          <w:tcPr/>
          <w:p>
            <w:pPr>
              <w:pStyle w:val="Compact"/>
              <w:jc w:val="left"/>
            </w:pPr>
            <w:r>
              <w:t xml:space="preserve">80,1 %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13,4</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29"/>
    <w:bookmarkStart w:id="30"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(~42 тыс.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0"/>
    <w:bookmarkStart w:id="31"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1"/>
    <w:bookmarkStart w:id="32"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7"/>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7"/>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7"/>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7"/>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2"/>
    <w:bookmarkStart w:id="33"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3"/>
    <w:bookmarkEnd w:id="34"/>
    <w:bookmarkStart w:id="38" w:name="интеграция-с-фсп"/>
    <w:p>
      <w:pPr>
        <w:pStyle w:val="Heading2"/>
      </w:pPr>
      <w:r>
        <w:t xml:space="preserve">7. Интеграция с ФСП</w:t>
      </w:r>
    </w:p>
    <w:bookmarkStart w:id="35"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8"/>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8"/>
        </w:numPr>
      </w:pPr>
      <w:r>
        <w:t xml:space="preserve">Один ФСП ID можно привязать только к одному профилю. Отвязка удаляет снимок достижений.</w:t>
      </w:r>
    </w:p>
    <w:p>
      <w:pPr>
        <w:pStyle w:val="Compact"/>
        <w:numPr>
          <w:ilvl w:val="0"/>
          <w:numId w:val="1008"/>
        </w:numPr>
      </w:pPr>
      <w:r>
        <w:t xml:space="preserve">Если реестр недоступен, привязка сохраняется, синхронизация повторяется позже.</w:t>
      </w:r>
    </w:p>
    <w:p>
      <w:pPr>
        <w:pStyle w:val="Compact"/>
        <w:numPr>
          <w:ilvl w:val="0"/>
          <w:numId w:val="1008"/>
        </w:numPr>
      </w:pPr>
      <w:r>
        <w:t xml:space="preserve">Для интеграции с реальным реестром достаточно заменить адрес реестра и выдать API клиентские учётные данные Keycloak (client credentials или token exchange).</w:t>
      </w:r>
    </w:p>
    <w:bookmarkEnd w:id="35"/>
    <w:bookmarkStart w:id="36"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6"/>
    <w:bookmarkStart w:id="37"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w:t>
      </w:r>
    </w:p>
    <w:bookmarkEnd w:id="37"/>
    <w:bookmarkEnd w:id="38"/>
    <w:bookmarkStart w:id="43" w:name="безопасность-и-152-фз"/>
    <w:p>
      <w:pPr>
        <w:pStyle w:val="Heading2"/>
      </w:pPr>
      <w:r>
        <w:t xml:space="preserve">8. Безопасность и 152-ФЗ</w:t>
      </w:r>
    </w:p>
    <w:bookmarkStart w:id="39" w:name="аутентификация"/>
    <w:p>
      <w:pPr>
        <w:pStyle w:val="Heading3"/>
      </w:pPr>
      <w:r>
        <w:t xml:space="preserve">8.1. Аутентификация</w:t>
      </w:r>
    </w:p>
    <w:p>
      <w:pPr>
        <w:pStyle w:val="Compact"/>
        <w:numPr>
          <w:ilvl w:val="0"/>
          <w:numId w:val="1009"/>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09"/>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09"/>
        </w:numPr>
      </w:pPr>
      <w:r>
        <w:t xml:space="preserve">Защита от CSRF: изменяющие запросы с cookie принимаются только с собственного Origin.</w:t>
      </w:r>
    </w:p>
    <w:p>
      <w:pPr>
        <w:pStyle w:val="Compact"/>
        <w:numPr>
          <w:ilvl w:val="0"/>
          <w:numId w:val="1009"/>
        </w:numPr>
      </w:pPr>
      <w:r>
        <w:t xml:space="preserve">Ограничение частоты: вход, регистрация, повторные письма, приглашения, жалобы.</w:t>
      </w:r>
    </w:p>
    <w:bookmarkEnd w:id="39"/>
    <w:bookmarkStart w:id="40" w:name="персональные-данные"/>
    <w:p>
      <w:pPr>
        <w:pStyle w:val="Heading3"/>
      </w:pPr>
      <w:r>
        <w:t xml:space="preserve">8.2. Персональные данные</w:t>
      </w:r>
    </w:p>
    <w:p>
      <w:pPr>
        <w:pStyle w:val="Compact"/>
        <w:numPr>
          <w:ilvl w:val="0"/>
          <w:numId w:val="1010"/>
        </w:numPr>
      </w:pPr>
      <w:r>
        <w:t xml:space="preserve">Email, ФИО и контакты кандидата хранятся зашифрованными (XChaCha20-Poly1305); поиск по email — через keyed-хеш (blind index).</w:t>
      </w:r>
    </w:p>
    <w:p>
      <w:pPr>
        <w:pStyle w:val="Compact"/>
        <w:numPr>
          <w:ilvl w:val="0"/>
          <w:numId w:val="1010"/>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0"/>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0"/>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Сохранённая подборка перепроверяется при каждом показе, поэтому скрытый профиль исчезает из неё сразу, без пересборки.</w:t>
      </w:r>
    </w:p>
    <w:p>
      <w:pPr>
        <w:pStyle w:val="Compact"/>
        <w:numPr>
          <w:ilvl w:val="0"/>
          <w:numId w:val="1010"/>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Работодатель получает свой аккаунт и данные компании.</w:t>
      </w:r>
    </w:p>
    <w:p>
      <w:pPr>
        <w:pStyle w:val="Compact"/>
        <w:numPr>
          <w:ilvl w:val="0"/>
          <w:numId w:val="1010"/>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0"/>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0"/>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0"/>
        </w:numPr>
      </w:pPr>
      <w:r>
        <w:t xml:space="preserve">Удаление аккаунта стирает персональные данные, связи обезличиваются.</w:t>
      </w:r>
    </w:p>
    <w:p>
      <w:pPr>
        <w:pStyle w:val="Compact"/>
        <w:numPr>
          <w:ilvl w:val="0"/>
          <w:numId w:val="1010"/>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1"/>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1"/>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1"/>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1"/>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1"/>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1"/>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1"/>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2"/>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2"/>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2"/>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2"/>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2"/>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2"/>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0"/>
    <w:bookmarkStart w:id="41" w:name="разграничение-доступа"/>
    <w:p>
      <w:pPr>
        <w:pStyle w:val="Heading3"/>
      </w:pPr>
      <w:r>
        <w:t xml:space="preserve">8.3. Разграничение доступа</w:t>
      </w:r>
    </w:p>
    <w:p>
      <w:pPr>
        <w:pStyle w:val="Compact"/>
        <w:numPr>
          <w:ilvl w:val="0"/>
          <w:numId w:val="1013"/>
        </w:numPr>
      </w:pPr>
      <w:r>
        <w:t xml:space="preserve">Роли кандидата и работодателя проверяются на уровне маршрутов; кандидат видит только свои приглашения, отклики и тесты, чужие ресурсы возвращают 404.</w:t>
      </w:r>
    </w:p>
    <w:p>
      <w:pPr>
        <w:pStyle w:val="Compact"/>
        <w:numPr>
          <w:ilvl w:val="0"/>
          <w:numId w:val="1013"/>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3"/>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1"/>
    <w:bookmarkStart w:id="42"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2"/>
    <w:bookmarkEnd w:id="43"/>
    <w:bookmarkStart w:id="44"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116 операций на 98 путях.</w:t>
      </w:r>
    </w:p>
    <w:p>
      <w:pPr>
        <w:pStyle w:val="Compact"/>
        <w:numPr>
          <w:ilvl w:val="0"/>
          <w:numId w:val="1014"/>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4"/>
        </w:numPr>
      </w:pPr>
      <w:r>
        <w:t xml:space="preserve">Формат: JSON, даты RFC 3339, деньги — целые рубли.</w:t>
      </w:r>
    </w:p>
    <w:p>
      <w:pPr>
        <w:pStyle w:val="Compact"/>
        <w:numPr>
          <w:ilvl w:val="0"/>
          <w:numId w:val="1014"/>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w:t>
      </w:r>
    </w:p>
    <w:p>
      <w:pPr>
        <w:pStyle w:val="Compact"/>
        <w:numPr>
          <w:ilvl w:val="0"/>
          <w:numId w:val="1014"/>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 для администратора — журнал и запись любой сессии</w:t>
            </w:r>
          </w:p>
        </w:tc>
        <w:tc>
          <w:tcPr/>
          <w:p>
            <w:pPr>
              <w:pStyle w:val="Compact"/>
              <w:jc w:val="left"/>
            </w:pPr>
            <w:r>
              <w:t xml:space="preserve">6</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проверка вилки по рынку категории, поиск похожих собственных вакансий; для администратора — очередь модерации</w:t>
            </w:r>
          </w:p>
        </w:tc>
        <w:tc>
          <w:tcPr/>
          <w:p>
            <w:pPr>
              <w:pStyle w:val="Compact"/>
              <w:jc w:val="left"/>
            </w:pPr>
            <w:r>
              <w:t xml:space="preserve">4</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bl>
    <w:bookmarkEnd w:id="44"/>
    <w:bookmarkStart w:id="53" w:name="антифейк-и-концепции-вне-mvp"/>
    <w:p>
      <w:pPr>
        <w:pStyle w:val="Heading2"/>
      </w:pPr>
      <w:r>
        <w:t xml:space="preserve">10. Антифейк и концепции вне MVP</w:t>
      </w:r>
    </w:p>
    <w:bookmarkStart w:id="45"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ещё не закрытые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5"/>
        </w:numPr>
      </w:pPr>
      <w:r>
        <w:t xml:space="preserve">новая компания начинает с 10 приглашений в неделю;</w:t>
      </w:r>
    </w:p>
    <w:p>
      <w:pPr>
        <w:pStyle w:val="Compact"/>
        <w:numPr>
          <w:ilvl w:val="0"/>
          <w:numId w:val="1015"/>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5"/>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за вакансию, скопированную у другой компании;</w:t>
      </w:r>
    </w:p>
    <w:p>
      <w:pPr>
        <w:pStyle w:val="Compact"/>
        <w:numPr>
          <w:ilvl w:val="0"/>
          <w:numId w:val="1015"/>
        </w:numPr>
      </w:pPr>
      <w:r>
        <w:t xml:space="preserve">−5, если отозвано 30 % и больше из 5+ приглашений; −5, если кандидаты ответили на 10 % и меньше из 10+ закрытых приглашений; −5 за копии собственных вакансий;</w:t>
      </w:r>
    </w:p>
    <w:p>
      <w:pPr>
        <w:pStyle w:val="Compact"/>
        <w:numPr>
          <w:ilvl w:val="0"/>
          <w:numId w:val="1015"/>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rPr>
          <w:rStyle w:val="VerbatimChar"/>
        </w:rPr>
        <w:t xml:space="preserve">GET /api/v1/admin/trust</w:t>
      </w:r>
      <w:r>
        <w:t xml:space="preserve"> </w:t>
      </w:r>
      <w:r>
        <w:t xml:space="preserve">(роль администратора) отдаёт компании хотя бы с одним отрицательным сигналом — от самой низкой квоты, вакансии и приглашения с отметками и причинами словами («Верх вилки 900 000 ₽ — в 3,1 раза выше 90-го перцентиля ожиданий Бэкенд-разработка · Middle»).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6"/>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6"/>
        </w:numPr>
      </w:pPr>
      <w:r>
        <w:t xml:space="preserve">Подтверждение домена DNS-записью TXT — для компаний, которые не могут войти с корпоративной почты.</w:t>
      </w:r>
    </w:p>
    <w:p>
      <w:pPr>
        <w:pStyle w:val="Compact"/>
        <w:numPr>
          <w:ilvl w:val="0"/>
          <w:numId w:val="1016"/>
        </w:numPr>
      </w:pPr>
      <w:r>
        <w:t xml:space="preserve">Модерация с решениями: снять отметку, подтвердить или отклонить жалобу, временно закрыть приглашения; каждое решение — в журнал и в уровень доверия.</w:t>
      </w:r>
    </w:p>
    <w:p>
      <w:pPr>
        <w:pStyle w:val="Compact"/>
        <w:numPr>
          <w:ilvl w:val="0"/>
          <w:numId w:val="1016"/>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6"/>
        </w:numPr>
      </w:pPr>
      <w:r>
        <w:t xml:space="preserve">Эмбеддинги текста (pgvector) для пересказанных копий: MinHash ловит правки и перестановки, но не перефразирование.</w:t>
      </w:r>
    </w:p>
    <w:bookmarkEnd w:id="45"/>
    <w:bookmarkStart w:id="51"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через сутки событие помечается недоставленным</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17"/>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17"/>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все адреса имени должны быть публичными (не loopback, не частные сети, не link-local с 169.254.169.254, не CGNAT, не служебные диапазоны, включая IPv6 и IPv4 внутри IPv6). Поэтому имя, которое после проверки начали резолвить в 127.0.0.1 (DNS rebinding), всё равно не пройдёт.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17"/>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17"/>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18"/>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18"/>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18"/>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18"/>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46">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47">
        <w:r>
          <w:rPr>
            <w:rStyle w:val="Hyperlink"/>
          </w:rPr>
          <w:t xml:space="preserve">публичное API «Потока» v3</w:t>
        </w:r>
      </w:hyperlink>
      <w:r>
        <w:t xml:space="preserve"> </w:t>
      </w:r>
      <w:r>
        <w:t xml:space="preserve">и</w:t>
      </w:r>
      <w:r>
        <w:t xml:space="preserve"> </w:t>
      </w:r>
      <w:hyperlink r:id="rId48">
        <w:r>
          <w:rPr>
            <w:rStyle w:val="Hyperlink"/>
          </w:rPr>
          <w:t xml:space="preserve">описание на сайте</w:t>
        </w:r>
      </w:hyperlink>
      <w:r>
        <w:t xml:space="preserve">,</w:t>
      </w:r>
      <w:r>
        <w:t xml:space="preserve"> </w:t>
      </w:r>
      <w:hyperlink r:id="rId49">
        <w:r>
          <w:rPr>
            <w:rStyle w:val="Hyperlink"/>
          </w:rPr>
          <w:t xml:space="preserve">документация API Talantix</w:t>
        </w:r>
      </w:hyperlink>
      <w:r>
        <w:t xml:space="preserve"> </w:t>
      </w:r>
      <w:r>
        <w:t xml:space="preserve">и</w:t>
      </w:r>
      <w:r>
        <w:t xml:space="preserve"> </w:t>
      </w:r>
      <w:hyperlink r:id="rId50">
        <w:r>
          <w:rPr>
            <w:rStyle w:val="Hyperlink"/>
          </w:rPr>
          <w:t xml:space="preserve">анонс API Talantix 2.0 на hh.ru</w:t>
        </w:r>
      </w:hyperlink>
      <w:r>
        <w:t xml:space="preserve">.</w:t>
      </w:r>
    </w:p>
    <w:bookmarkEnd w:id="51"/>
    <w:bookmarkStart w:id="52"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в Valkey; реплика PostgreSQL на чтение; эмбеддинги текстов (pgvector) — отдельным воркером; аналитика событий — выгрузка изменений в ClickHouse.</w:t>
      </w:r>
    </w:p>
    <w:bookmarkEnd w:id="52"/>
    <w:bookmarkEnd w:id="53"/>
    <w:bookmarkStart w:id="54"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шрифта).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(сборка — 1.97)</w:t>
            </w:r>
          </w:p>
        </w:tc>
        <w:tc>
          <w:tcPr/>
          <w:p>
            <w:pPr>
              <w:pStyle w:val="Compact"/>
              <w:jc w:val="left"/>
            </w:pPr>
            <w:r>
              <w:t xml:space="preserve">Язык backend</w:t>
            </w:r>
          </w:p>
        </w:tc>
      </w:tr>
      <w:tr>
        <w:tc>
          <w:tcPr/>
          <w:p>
            <w:pPr>
              <w:pStyle w:val="Compact"/>
              <w:jc w:val="left"/>
            </w:pPr>
            <w:r>
              <w:t xml:space="preserve">axum / tokio</w:t>
            </w:r>
          </w:p>
        </w:tc>
        <w:tc>
          <w:tcPr/>
          <w:p>
            <w:pPr>
              <w:pStyle w:val="Compact"/>
              <w:jc w:val="left"/>
            </w:pPr>
            <w:r>
              <w:t xml:space="preserve">0.8.9 / 1.53</w:t>
            </w:r>
          </w:p>
        </w:tc>
        <w:tc>
          <w:tcPr/>
          <w:p>
            <w:pPr>
              <w:pStyle w:val="Compact"/>
              <w:jc w:val="left"/>
            </w:pPr>
            <w:r>
              <w:t xml:space="preserve">HTTP-сервер и асинхронный рантайм</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w:t>
            </w:r>
          </w:p>
        </w:tc>
        <w:tc>
          <w:tcPr/>
          <w:p>
            <w:pPr>
              <w:pStyle w:val="Compact"/>
              <w:jc w:val="left"/>
            </w:pPr>
            <w:r>
              <w:t xml:space="preserve">0.5.3 / 0.10.1 / 2.2 / 11.1</w:t>
            </w:r>
          </w:p>
        </w:tc>
        <w:tc>
          <w:tcPr/>
          <w:p>
            <w:pPr>
              <w:pStyle w:val="Compact"/>
              <w:jc w:val="left"/>
            </w:pPr>
            <w:r>
              <w:t xml:space="preserve">Криптография и токены</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и deny-list</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Кольцевой буфер событий демо-ATS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w:t>
            </w:r>
          </w:p>
        </w:tc>
        <w:tc>
          <w:tcPr/>
          <w:p>
            <w:pPr>
              <w:pStyle w:val="Compact"/>
              <w:jc w:val="left"/>
            </w:pPr>
            <w:r>
              <w:t xml:space="preserve">Frontend</w:t>
            </w:r>
          </w:p>
        </w:tc>
      </w:tr>
      <w:tr>
        <w:tc>
          <w:tcPr/>
          <w:p>
            <w:pPr>
              <w:pStyle w:val="Compact"/>
              <w:jc w:val="left"/>
            </w:pPr>
            <w:r>
              <w:t xml:space="preserve">TanStack Query / openapi-fetch / openapi-typescript</w:t>
            </w:r>
          </w:p>
        </w:tc>
        <w:tc>
          <w:tcPr/>
          <w:p>
            <w:pPr>
              <w:pStyle w:val="Compact"/>
              <w:jc w:val="left"/>
            </w:pPr>
            <w:r>
              <w:t xml:space="preserve">5 / 0.17 / 7</w:t>
            </w:r>
          </w:p>
        </w:tc>
        <w:tc>
          <w:tcPr/>
          <w:p>
            <w:pPr>
              <w:pStyle w:val="Compact"/>
              <w:jc w:val="left"/>
            </w:pPr>
            <w:r>
              <w:t xml:space="preserve">Данные и клиент из OpenAPI</w:t>
            </w:r>
          </w:p>
        </w:tc>
      </w:tr>
      <w:tr>
        <w:tc>
          <w:tcPr/>
          <w:p>
            <w:pPr>
              <w:pStyle w:val="Compact"/>
              <w:jc w:val="left"/>
            </w:pPr>
            <w:r>
              <w:t xml:space="preserve">Tailwind CSS / react-hook-form / zod</w:t>
            </w:r>
          </w:p>
        </w:tc>
        <w:tc>
          <w:tcPr/>
          <w:p>
            <w:pPr>
              <w:pStyle w:val="Compact"/>
              <w:jc w:val="left"/>
            </w:pPr>
            <w:r>
              <w:t xml:space="preserve">4 / 7 / 4</w:t>
            </w:r>
          </w:p>
        </w:tc>
        <w:tc>
          <w:tcPr/>
          <w:p>
            <w:pPr>
              <w:pStyle w:val="Compact"/>
              <w:jc w:val="left"/>
            </w:pPr>
            <w:r>
              <w:t xml:space="preserve">Стили и формы</w:t>
            </w:r>
          </w:p>
        </w:tc>
      </w:tr>
      <w:tr>
        <w:tc>
          <w:tcPr/>
          <w:p>
            <w:pPr>
              <w:pStyle w:val="Compact"/>
              <w:jc w:val="left"/>
            </w:pPr>
            <w:r>
              <w:t xml:space="preserve">GSAP (+ScrollTrigger, SplitText)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w:t>
            </w:r>
          </w:p>
        </w:tc>
      </w:tr>
    </w:tbl>
    <w:bookmarkEnd w:id="54"/>
    <w:bookmarkStart w:id="58" w:name="сборка-развёртывание-и-запуск"/>
    <w:p>
      <w:pPr>
        <w:pStyle w:val="Heading2"/>
      </w:pPr>
      <w:r>
        <w:t xml:space="preserve">12. Сборка, развёртывание и запуск</w:t>
      </w:r>
    </w:p>
    <w:bookmarkStart w:id="55"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подтверждения</w:t>
            </w:r>
          </w:p>
        </w:tc>
        <w:tc>
          <w:tcPr/>
          <w:p>
            <w:pPr>
              <w:pStyle w:val="Compact"/>
              <w:jc w:val="left"/>
            </w:pPr>
            <w:r>
              <w:t xml:space="preserve">http://localhost:8025</w:t>
            </w:r>
          </w:p>
        </w:tc>
      </w:tr>
      <w:tr>
        <w:tc>
          <w:tcPr/>
          <w:p>
            <w:pPr>
              <w:pStyle w:val="Compact"/>
              <w:jc w:val="left"/>
            </w:pPr>
            <w:r>
              <w:t xml:space="preserve">ФСП ID (Keycloak)</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w:t>
            </w:r>
          </w:p>
        </w:tc>
        <w:tc>
          <w:tcPr/>
          <w:p>
            <w:pPr>
              <w:pStyle w:val="Compact"/>
              <w:jc w:val="left"/>
            </w:pPr>
            <w:r>
              <w:t xml:space="preserve">http://localhost:3001</w:t>
            </w:r>
          </w:p>
        </w:tc>
      </w:tr>
    </w:tbl>
    <w:p>
      <w:pPr>
        <w:pStyle w:val="BodyText"/>
      </w:pPr>
      <w:r>
        <w:t xml:space="preserve">При первом старте API применяет миграции и заполняет демо-данные: 6 вымышленных компаний, 12 вакансий, 240 кандидатов с симулированными тестами, 15 из них с ФСП. У демо-работодателя шесть потребностей — по одной на специализацию.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кандидат</w:t>
      </w:r>
      <w:r>
        <w:t xml:space="preserve"> </w:t>
      </w:r>
      <w:r>
        <w:rPr>
          <w:rStyle w:val="VerbatimChar"/>
        </w:rPr>
        <w:t xml:space="preserve">candidate@demo.fsp</w:t>
      </w:r>
      <w:r>
        <w:t xml:space="preserve">, кандидаты</w:t>
      </w:r>
      <w:r>
        <w:t xml:space="preserve"> </w:t>
      </w:r>
      <w:r>
        <w:rPr>
          <w:rStyle w:val="VerbatimChar"/>
        </w:rPr>
        <w:t xml:space="preserve">cand1@demo.fsp</w:t>
      </w:r>
      <w:r>
        <w:t xml:space="preserve">…, участники ФСП ID в Keycloak</w:t>
      </w:r>
      <w:r>
        <w:t xml:space="preserve"> </w:t>
      </w:r>
      <w:r>
        <w:rPr>
          <w:rStyle w:val="VerbatimChar"/>
        </w:rPr>
        <w:t xml:space="preserve">fsp-000001</w:t>
      </w:r>
      <w:r>
        <w:t xml:space="preserve">…</w:t>
      </w:r>
      <w:r>
        <w:rPr>
          <w:rStyle w:val="VerbatimChar"/>
        </w:rPr>
        <w:t xml:space="preserve">fsp-000010</w:t>
      </w:r>
      <w:r>
        <w:t xml:space="preserve">.</w:t>
      </w:r>
    </w:p>
    <w:bookmarkEnd w:id="55"/>
    <w:bookmarkStart w:id="56"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FunctionTok"/>
        </w:rPr>
        <w:t xml:space="preserve">make</w:t>
      </w:r>
      <w:r>
        <w:rPr>
          <w:rStyle w:val="NormalTok"/>
        </w:rPr>
        <w:t xml:space="preserve"> api      </w:t>
      </w:r>
      <w:r>
        <w:rPr>
          <w:rStyle w:val="CommentTok"/>
        </w:rPr>
        <w:t xml:space="preserve"># API на :8000 (миграции при старте; ФСП ID — dev-привязкой)</w:t>
      </w:r>
      <w:r>
        <w:br/>
      </w:r>
      <w:r>
        <w:rPr>
          <w:rStyle w:val="FunctionTok"/>
        </w:rPr>
        <w:t xml:space="preserve">make</w:t>
      </w:r>
      <w:r>
        <w:rPr>
          <w:rStyle w:val="NormalTok"/>
        </w:rPr>
        <w:t xml:space="preserve"> web      </w:t>
      </w:r>
      <w:r>
        <w:rPr>
          <w:rStyle w:val="CommentTok"/>
        </w:rPr>
        <w:t xml:space="preserve"># интерфейс на :3000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в локальном PostgreSQL</w:t>
      </w:r>
    </w:p>
    <w:p>
      <w:pPr>
        <w:pStyle w:val="FirstParagraph"/>
      </w:pPr>
      <w:r>
        <w:t xml:space="preserve">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6"/>
    <w:bookmarkStart w:id="57" w:name="для-vps"/>
    <w:p>
      <w:pPr>
        <w:pStyle w:val="Heading3"/>
      </w:pPr>
      <w:r>
        <w:t xml:space="preserve">12.3. Для VPS</w:t>
      </w:r>
    </w:p>
    <w:p>
      <w:pPr>
        <w:pStyle w:val="FirstParagraph"/>
      </w:pPr>
      <w:r>
        <w:t xml:space="preserve">Задать в</w:t>
      </w:r>
      <w:r>
        <w:t xml:space="preserve"> </w:t>
      </w:r>
      <w:r>
        <w:rPr>
          <w:rStyle w:val="VerbatimChar"/>
        </w:rPr>
        <w:t xml:space="preserve">.env</w:t>
      </w:r>
      <w:r>
        <w:t xml:space="preserve"> </w:t>
      </w:r>
      <w:r>
        <w:t xml:space="preserve">публичные адреса (</w:t>
      </w:r>
      <w:r>
        <w:rPr>
          <w:rStyle w:val="VerbatimChar"/>
        </w:rPr>
        <w:t xml:space="preserve">PUBLIC_URL</w:t>
      </w:r>
      <w:r>
        <w:t xml:space="preserve">,</w:t>
      </w:r>
      <w:r>
        <w:t xml:space="preserve"> </w:t>
      </w:r>
      <w:r>
        <w:rPr>
          <w:rStyle w:val="VerbatimChar"/>
        </w:rPr>
        <w:t xml:space="preserve">KC_HOSTNAME</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включить</w:t>
      </w:r>
      <w:r>
        <w:t xml:space="preserve"> </w:t>
      </w:r>
      <w:r>
        <w:rPr>
          <w:rStyle w:val="VerbatimChar"/>
        </w:rPr>
        <w:t xml:space="preserve">COOKIE_SECURE=true</w:t>
      </w:r>
      <w:r>
        <w:t xml:space="preserve"> </w:t>
      </w:r>
      <w:r>
        <w:t xml:space="preserve">(камера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 сгенерировать новые ключи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байта в base64) сменить пароли Keycloak и Grafana и указать в</w:t>
      </w:r>
      <w:r>
        <w:t xml:space="preserve"> </w:t>
      </w:r>
      <w:r>
        <w:rPr>
          <w:rStyle w:val="VerbatimChar"/>
        </w:rPr>
        <w:t xml:space="preserve">deploy/Caddyfile</w:t>
      </w:r>
      <w:r>
        <w:t xml:space="preserve"> </w:t>
      </w:r>
      <w:r>
        <w:t xml:space="preserve">домен вместо</w:t>
      </w:r>
      <w:r>
        <w:t xml:space="preserve"> </w:t>
      </w:r>
      <w:r>
        <w:rPr>
          <w:rStyle w:val="VerbatimChar"/>
        </w:rPr>
        <w:t xml:space="preserve">:8080</w:t>
      </w:r>
      <w:r>
        <w:t xml:space="preserve"> </w:t>
      </w:r>
      <w:r>
        <w:t xml:space="preserve">— Caddy сам получит TLS-сертификат.</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api-doc.potok.io/public-api/index.html" TargetMode="External" /><Relationship Type="http://schemas.openxmlformats.org/officeDocument/2006/relationships/hyperlink" Id="rId46" Target="https://api.huntflow.ru/v2/docs" TargetMode="External" /><Relationship Type="http://schemas.openxmlformats.org/officeDocument/2006/relationships/hyperlink" Id="rId49" Target="https://api.talantix.ru/docs/" TargetMode="External" /><Relationship Type="http://schemas.openxmlformats.org/officeDocument/2006/relationships/hyperlink" Id="rId50" Target="https://hh.ru/article/32514" TargetMode="External" /><Relationship Type="http://schemas.openxmlformats.org/officeDocument/2006/relationships/hyperlink" Id="rId48"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47" Target="https://api-doc.potok.io/public-api/index.html" TargetMode="External" /><Relationship Type="http://schemas.openxmlformats.org/officeDocument/2006/relationships/hyperlink" Id="rId46" Target="https://api.huntflow.ru/v2/docs" TargetMode="External" /><Relationship Type="http://schemas.openxmlformats.org/officeDocument/2006/relationships/hyperlink" Id="rId49" Target="https://api.talantix.ru/docs/" TargetMode="External" /><Relationship Type="http://schemas.openxmlformats.org/officeDocument/2006/relationships/hyperlink" Id="rId50" Target="https://hh.ru/article/32514" TargetMode="External" /><Relationship Type="http://schemas.openxmlformats.org/officeDocument/2006/relationships/hyperlink" Id="rId48"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