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"/>
  <Override PartName="/word/media/rId67.svg" ContentType="image/svg+xml"/>
  <Override PartName="/word/media/rId46.svg" ContentType="image/svg+xml"/>
  <Override PartName="/word/media/rId54.svg" ContentType="image/svg+xml"/>
  <Override PartName="/word/media/rId20.png" ContentType="image/png"/>
  <Override PartName="/word/media/rId49.png" ContentType="image/png"/>
  <Override PartName="/word/media/rId5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b18a71efb0abcbf4e8dda82739fe8db3128b4e5"/>
      <w:r>
        <w:rPr>
          <w:lang w:val="ru"/>
        </w:rPr>
        <w:t xml:space="preserve">ФСП Таланты - платформа подбора ИТ-специалистов с подтверждённой категорией</w:t>
      </w:r>
      <w:bookmarkEnd w:id="9"/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Руководство по запуску и настройке: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p>
      <w:pPr>
        <w:pStyle w:val="Heading2"/>
      </w:pPr>
      <w:bookmarkStart w:id="10" w:name="_67207e74879c0ef0857488526905cf25a34f600"/>
      <w:r>
        <w:rPr>
          <w:lang w:val="ru"/>
        </w:rPr>
        <w:t xml:space="preserve">Коротко о решении</w:t>
      </w:r>
      <w:bookmarkEnd w:id="10"/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p>
      <w:pPr>
        <w:pStyle w:val="Heading2"/>
      </w:pPr>
      <w:bookmarkStart w:id="11" w:name="_bb582b9f3611218273a5bfbc900d5fc6b6b6089"/>
      <w:r>
        <w:rPr>
          <w:lang w:val="ru"/>
        </w:rPr>
        <w:t xml:space="preserve">1. Функциональная архитектура</w:t>
      </w:r>
      <w:bookmarkEnd w:id="11"/>
    </w:p>
    <w:p>
      <w:pPr>
        <w:pStyle w:val="Heading3"/>
      </w:pPr>
      <w:bookmarkStart w:id="12" w:name="_1bbacc8a313c4c5418595de3e8538f049ad5835"/>
      <w:r>
        <w:rPr>
          <w:lang w:val="ru"/>
        </w:rPr>
        <w:t xml:space="preserve">1.1. Роли и сквозные сценарии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p>
      <w:pPr>
        <w:pStyle w:val="Heading3"/>
      </w:pPr>
      <w:bookmarkStart w:id="13" w:name="_47a691f74fcf0fb8cb3c519e95b480a71de11bf"/>
      <w:r>
        <w:rPr>
          <w:lang w:val="ru"/>
        </w:rPr>
        <w:t xml:space="preserve">1.2. Покрытие требований ТЗ</w:t>
      </w:r>
      <w:bookmarkEnd w:id="1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FirstParagraph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 и видео, перезапуск зависших контейнеров (раздел 12.3)</w:t>
            </w:r>
          </w:p>
        </w:tc>
      </w:tr>
    </w:tbl>
    <w:p>
      <w:pPr>
        <w:pStyle w:val="Heading3"/>
      </w:pPr>
      <w:bookmarkStart w:id="14" w:name="_интерфейс"/>
      <w:r>
        <w:rPr>
          <w:lang w:val="ru"/>
        </w:rPr>
        <w:t xml:space="preserve">1.3. Интерфейс</w:t>
      </w:r>
      <w:bookmarkEnd w:id="14"/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выдаётся; аккаунт создаёт оператор командой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p>
      <w:pPr>
        <w:pStyle w:val="Heading3"/>
      </w:pPr>
      <w:bookmarkStart w:id="15" w:name="_уведомления"/>
      <w:r>
        <w:rPr>
          <w:lang w:val="ru"/>
        </w:rPr>
        <w:t xml:space="preserve">1.4. Уведомления</w:t>
      </w:r>
      <w:bookmarkEnd w:id="15"/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p>
      <w:pPr>
        <w:pStyle w:val="Heading2"/>
      </w:pPr>
      <w:bookmarkStart w:id="16" w:name="_10ef5f87286e97ec7c69dcef04313065c5c6cec"/>
      <w:r>
        <w:rPr>
          <w:lang w:val="ru"/>
        </w:rPr>
        <w:t xml:space="preserve">2. Компонентная архитектура</w:t>
      </w:r>
      <w:bookmarkEnd w:id="16"/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8" name="Picture"/>
            <a:graphic>
              <a:graphicData uri="http://schemas.openxmlformats.org/drawingml/2006/picture">
                <pic:pic>
                  <pic:nvPicPr>
                    <pic:cNvPr descr="docs/img/architectur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FirstParagraph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FirstParagraph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p>
      <w:pPr>
        <w:pStyle w:val="BodyText"/>
      </w:pPr>
      <w:r>
        <w:rPr>
          <w:b/>
          <w:bCs/>
          <w:lang w:val="ru"/>
        </w:rPr>
        <w:t xml:space="preserve">Почему такой стек.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Rust, axum, модульный монолит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Правила видимости в типах: DTO работодателя не содержит контактов, и это проверяет компилятор. Один бинарь проще развернуть и сопровождать, чем набор сервисов; границы держат крейты, а не сеть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sqlx, SQL пишется руками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 проверяется по схеме базы при компиляции; без ORM и генератора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PostgreSQL: JSONB,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tsvector</w:t>
            </w:r>
            <w:r>
              <w:rPr>
                <w:lang w:val="ru"/>
              </w:rPr>
              <w:t xml:space="preserve">, pgvector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Профили, полнотекстовый поиск и векторы в одной базе и одной транзакции. Отдельные OLAP и векторная база при таком объёме не окупаются; SurrealDB не подошла по лицензии (BSL)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Valkey вместо 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Совместим с Redis, лицензия BSD; Redis перешёл на RSAL/SSPL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Свой вход: argon2id, JWT (EdDSA) на 15 минут, refresh в httpOnly 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Аккаунты соискателей и компаний - свои; ФСП ID привязывается к профилю соискателя, а не заменяет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через Keycloak по OpenID Connect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Стандартный протокол: настоящий провайдер ФСП ID подключается настройками, без правки кода (</w:t>
            </w:r>
            <w:r>
              <w:rPr>
                <w:rStyle w:val="VerbatimChar"/>
                <w:lang w:val="ru"/>
              </w:rPr>
              <w:t xml:space="preserve">docs/guide.md</w:t>
            </w:r>
            <w:r>
              <w:rPr>
                <w:lang w:val="ru"/>
              </w:rPr>
              <w:t xml:space="preserve">, раздел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Своя модель эмбеддингов на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Тексты профилей и вакансий - персональные и коммерческие данные, наружу они не уходят 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ГОСТ-криптографии в работе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Соответствие даёт сертифицированное СКЗИ, а не сам алгоритм; переход подготовлен (раздел 8.4)</w:t>
            </w:r>
          </w:p>
        </w:tc>
      </w:tr>
    </w:tbl>
    <w:p>
      <w:pPr>
        <w:pStyle w:val="Heading2"/>
      </w:pPr>
      <w:bookmarkStart w:id="21" w:name="_справочники"/>
      <w:r>
        <w:rPr>
          <w:lang w:val="ru"/>
        </w:rPr>
        <w:t xml:space="preserve">3. Справочники</w:t>
      </w:r>
      <w:bookmarkEnd w:id="21"/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p>
      <w:pPr>
        <w:pStyle w:val="Heading2"/>
      </w:pPr>
      <w:bookmarkStart w:id="22" w:name="_208f36264a8cdd3b1179a5696230e3132750dbb"/>
      <w:r>
        <w:rPr>
          <w:lang w:val="ru"/>
        </w:rPr>
        <w:t xml:space="preserve">4. Механика тестирования</w:t>
      </w:r>
      <w:bookmarkEnd w:id="22"/>
    </w:p>
    <w:p>
      <w:pPr>
        <w:pStyle w:val="Heading3"/>
      </w:pPr>
      <w:bookmarkStart w:id="23" w:name="_идея"/>
      <w:r>
        <w:rPr>
          <w:lang w:val="ru"/>
        </w:rPr>
        <w:t xml:space="preserve">4.1. Идея</w:t>
      </w:r>
      <w:bookmarkEnd w:id="23"/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p>
      <w:pPr>
        <w:pStyle w:val="Heading3"/>
      </w:pPr>
      <w:bookmarkStart w:id="24" w:name="_eb2406039749b5438b6ec9a812b7553e303a25f"/>
      <w:r>
        <w:rPr>
          <w:lang w:val="ru"/>
        </w:rPr>
        <w:t xml:space="preserve">4.2. Банк заданий</w:t>
      </w:r>
      <w:bookmarkEnd w:id="24"/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FirstParagraph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p>
      <w:pPr>
        <w:pStyle w:val="Heading3"/>
      </w:pPr>
      <w:bookmarkStart w:id="25" w:name="_6e787b0757792282b033696aede8c4081799976"/>
      <w:r>
        <w:rPr>
          <w:lang w:val="ru"/>
        </w:rPr>
        <w:t xml:space="preserve">4.3. Адаптивный тест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FirstParagraph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p>
      <w:pPr>
        <w:pStyle w:val="Heading3"/>
      </w:pPr>
      <w:bookmarkStart w:id="26" w:name="_2c494c04bcd61f19790408c09aec10a79865388"/>
      <w:r>
        <w:rPr>
          <w:lang w:val="ru"/>
        </w:rPr>
        <w:t xml:space="preserve">4.4. Почему тест устойчив к распространению заданий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FirstParagraph"/>
      </w:pPr>
      <w:r>
        <w:rPr>
          <w:lang w:val="ru"/>
        </w:rPr>
        <w:t xml:space="preserve">Потолка частоты показа шаблона нет: тест и так показывает большую часть шаблонов специализации (медиана - 83 % сессий), поэтому защита держится на неповторимости экземпляров, а не на редкости шаблона; среди пяти самых информативных заданий следующее выбирается случайно.</w:t>
      </w:r>
    </w:p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p>
      <w:pPr>
        <w:pStyle w:val="Heading3"/>
      </w:pPr>
      <w:bookmarkStart w:id="27" w:name="_62412271ba0300bb76e0e9dea942e73d767d033"/>
      <w:r>
        <w:rPr>
          <w:lang w:val="ru"/>
        </w:rPr>
        <w:t xml:space="preserve">4.5. Правила смены грейда</w:t>
      </w:r>
      <w:bookmarkEnd w:id="27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p>
      <w:pPr>
        <w:pStyle w:val="Heading3"/>
      </w:pPr>
      <w:bookmarkStart w:id="28" w:name="_9daf580035b5a5ffa5df6b2bc9db6e4dc4c908a"/>
      <w:r>
        <w:rPr>
          <w:lang w:val="ru"/>
        </w:rPr>
        <w:t xml:space="preserve">4.6. Как тест строится от вакансии</w:t>
      </w:r>
      <w:bookmarkEnd w:id="28"/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p>
      <w:pPr>
        <w:pStyle w:val="Heading3"/>
      </w:pPr>
      <w:bookmarkStart w:id="29" w:name="_ad08cf224355b3a9813a7d96cf67e407347feea"/>
      <w:r>
        <w:rPr>
          <w:lang w:val="ru"/>
        </w:rPr>
        <w:t xml:space="preserve">4.7. Видеозапись теста и журнал событий</w:t>
      </w:r>
      <w:bookmarkEnd w:id="29"/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FirstParagraph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FirstParagraph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p>
      <w:pPr>
        <w:pStyle w:val="Heading2"/>
      </w:pPr>
      <w:bookmarkStart w:id="30" w:name="_8d87a74116ad49fc753d7bbc48e68f9aac21bd0"/>
      <w:r>
        <w:rPr>
          <w:lang w:val="ru"/>
        </w:rPr>
        <w:t xml:space="preserve">5. Механика подбора и категоризация</w:t>
      </w:r>
      <w:bookmarkEnd w:id="30"/>
    </w:p>
    <w:p>
      <w:pPr>
        <w:pStyle w:val="Heading3"/>
      </w:pPr>
      <w:bookmarkStart w:id="31" w:name="_категоризация"/>
      <w:r>
        <w:rPr>
          <w:lang w:val="ru"/>
        </w:rPr>
        <w:t xml:space="preserve">5.1. Категоризация</w:t>
      </w:r>
      <w:bookmarkEnd w:id="31"/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p>
      <w:pPr>
        <w:pStyle w:val="Heading3"/>
      </w:pPr>
      <w:bookmarkStart w:id="32" w:name="_2fd5ff31ed29fa51c332aeec34aefb3f6bb9343"/>
      <w:r>
        <w:rPr>
          <w:lang w:val="ru"/>
        </w:rPr>
        <w:t xml:space="preserve">5.2. Сценарий выхода на контакт</w:t>
      </w:r>
      <w:bookmarkEnd w:id="32"/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p>
      <w:pPr>
        <w:pStyle w:val="Heading3"/>
      </w:pPr>
      <w:bookmarkStart w:id="33" w:name="_ранжирование"/>
      <w:r>
        <w:rPr>
          <w:lang w:val="ru"/>
        </w:rPr>
        <w:t xml:space="preserve">5.3. Ранжирование</w:t>
      </w:r>
      <w:bookmarkEnd w:id="33"/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FirstParagraph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p>
      <w:pPr>
        <w:pStyle w:val="Heading3"/>
      </w:pPr>
      <w:bookmarkStart w:id="34" w:name="_006efe6e331b283b98b374496005ab62832a2e6"/>
      <w:r>
        <w:rPr>
          <w:lang w:val="ru"/>
        </w:rPr>
        <w:t xml:space="preserve">5.4. Уточнение без потери подборки</w:t>
      </w:r>
      <w:bookmarkEnd w:id="34"/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p>
      <w:pPr>
        <w:pStyle w:val="Heading3"/>
      </w:pPr>
      <w:bookmarkStart w:id="35" w:name="_61acb05b6b3c901173b1801d694003360cc7ace"/>
      <w:r>
        <w:rPr>
          <w:lang w:val="ru"/>
        </w:rPr>
        <w:t xml:space="preserve">5.5. Чем это отличается от отклика на вакансию</w:t>
      </w:r>
      <w:bookmarkEnd w:id="35"/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p>
      <w:pPr>
        <w:pStyle w:val="Heading3"/>
      </w:pPr>
      <w:bookmarkStart w:id="36" w:name="_7e668e3e10eaf6a53cfb83a8309c9b023f4c3a0"/>
      <w:r>
        <w:rPr>
          <w:lang w:val="ru"/>
        </w:rPr>
        <w:t xml:space="preserve">5.6. Машинное обучение: смысловая близость текстов</w:t>
      </w:r>
      <w:bookmarkEnd w:id="36"/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FirstParagraph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FirstParagraph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p>
      <w:pPr>
        <w:pStyle w:val="Heading2"/>
      </w:pPr>
      <w:bookmarkStart w:id="37" w:name="_004f17e911cdb97bff0ebd0f9f014036b50b3c9"/>
      <w:r>
        <w:rPr>
          <w:lang w:val="ru"/>
        </w:rPr>
        <w:t xml:space="preserve">6. Процедура валидации и результаты</w:t>
      </w:r>
      <w:bookmarkEnd w:id="37"/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p>
      <w:pPr>
        <w:pStyle w:val="Heading3"/>
      </w:pPr>
      <w:bookmarkStart w:id="38" w:name="_7434fc1fa8a8d2f1440d9af70d6ea3af0edd4e4"/>
      <w:r>
        <w:rPr>
          <w:lang w:val="ru"/>
        </w:rPr>
        <w:t xml:space="preserve">6.1. Тестирование: точность и стабильность</w:t>
      </w:r>
      <w:bookmarkEnd w:id="38"/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FirstParagraph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p>
      <w:pPr>
        <w:pStyle w:val="Heading3"/>
      </w:pPr>
      <w:bookmarkStart w:id="39" w:name="_3bcc5e3401455396412dca8dbfbd12bbbec0eeb"/>
      <w:r>
        <w:rPr>
          <w:lang w:val="ru"/>
        </w:rPr>
        <w:t xml:space="preserve">6.2. Тестирование: устойчивость к утечке</w:t>
      </w:r>
      <w:bookmarkEnd w:id="39"/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FirstParagraph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p>
      <w:pPr>
        <w:pStyle w:val="Heading3"/>
      </w:pPr>
      <w:bookmarkStart w:id="40" w:name="_8ae9c421472513df8cdc11b32d24db9350ccbe0"/>
      <w:r>
        <w:rPr>
          <w:lang w:val="ru"/>
        </w:rPr>
        <w:t xml:space="preserve">6.3. Подбор: доля релевантных в топе</w:t>
      </w:r>
      <w:bookmarkEnd w:id="40"/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FirstParagraph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FirstParagraph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p>
      <w:pPr>
        <w:pStyle w:val="Heading3"/>
      </w:pPr>
      <w:bookmarkStart w:id="41" w:name="_3ed8eef812f9576d1eeb1b0ffc9197de207f4a8"/>
      <w:r>
        <w:rPr>
          <w:lang w:val="ru"/>
        </w:rPr>
        <w:t xml:space="preserve">6.4. Проверка на своих данных</w:t>
      </w:r>
      <w:bookmarkEnd w:id="41"/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FirstParagraph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FirstParagraph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p>
      <w:pPr>
        <w:pStyle w:val="Heading3"/>
      </w:pPr>
      <w:bookmarkStart w:id="42" w:name="_ac49ffa1a156671259cf8672a391713c7396b18"/>
      <w:r>
        <w:rPr>
          <w:lang w:val="ru"/>
        </w:rPr>
        <w:t xml:space="preserve">6.5. Ограничения и экспертная проверка</w:t>
      </w:r>
      <w:bookmarkEnd w:id="42"/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Поэтому при внедрении качество подтверждают на данных компании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 Подбор - экспертной разметкой: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p>
      <w:pPr>
        <w:pStyle w:val="Heading3"/>
      </w:pPr>
      <w:bookmarkStart w:id="43" w:name="_8a5c9760ad7cd46490a0ab2223e0ac8ef79506e"/>
      <w:r>
        <w:rPr>
          <w:lang w:val="ru"/>
        </w:rPr>
        <w:t xml:space="preserve">6.6. Корректность кода: модульные и black-box тесты</w:t>
      </w:r>
      <w:bookmarkEnd w:id="43"/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FirstParagraph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 Перерасчёт векторов при смене модели эмбеддингов и повтор упавшего пакета - нужна вторая модель или сбой посреди пакета; правила повторов модульные, а работу без эмбеддера проверяет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. Выбор регулярного задания среди задач всех компаний задаёт порядок в SQL; правило частоты - модульное. Команда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 black-box тесты не запускают бинарь внутри стека; разбор email и пароля из stdin покрыт модульными тестами.</w:t>
      </w:r>
    </w:p>
    <w:p>
      <w:pPr>
        <w:pStyle w:val="Heading2"/>
      </w:pPr>
      <w:bookmarkStart w:id="44" w:name="_0283c4c4f0a7df2eb1611cb47a4063116c757f5"/>
      <w:r>
        <w:rPr>
          <w:lang w:val="ru"/>
        </w:rPr>
        <w:t xml:space="preserve">7. Интеграция с ФСП</w:t>
      </w:r>
      <w:bookmarkEnd w:id="44"/>
    </w:p>
    <w:p>
      <w:pPr>
        <w:pStyle w:val="Heading3"/>
      </w:pPr>
      <w:bookmarkStart w:id="45" w:name="_bdc7f65c636b0acb3a9f11ebded331a3cab088c"/>
      <w:r>
        <w:rPr>
          <w:lang w:val="ru"/>
        </w:rPr>
        <w:t xml:space="preserve">7.1. Привязка ФСП ID</w:t>
      </w:r>
      <w:bookmarkEnd w:id="45"/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7" name="Picture"/>
            <a:graphic>
              <a:graphicData uri="http://schemas.openxmlformats.org/drawingml/2006/picture">
                <pic:pic>
                  <pic:nvPicPr>
                    <pic:cNvPr descr="docs/img/fsp-link.sv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подключения реального реестра ФСП выдаёт его адрес и токен доступа. API передаёт токен как статический Bearer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если реестр выдаёт токены через Keycloak по client credentials или token exchange, клиент реестра потребует небольшой доработки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разделы 4.4 и 4.13).</w:t>
      </w:r>
    </w:p>
    <w:p>
      <w:pPr>
        <w:pStyle w:val="Heading3"/>
      </w:pPr>
      <w:bookmarkStart w:id="50" w:name="_15961f1e43ecc3d8725fe40c5f3c1c488c15b94"/>
      <w:r>
        <w:rPr>
          <w:lang w:val="ru"/>
        </w:rPr>
        <w:t xml:space="preserve">7.2. Какие данные получаем</w:t>
      </w:r>
      <w:bookmarkEnd w:id="50"/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p>
      <w:pPr>
        <w:pStyle w:val="Heading3"/>
      </w:pPr>
      <w:bookmarkStart w:id="51" w:name="_07b3b6667192df752b5d8cd4fbd154b8abf8df3"/>
      <w:r>
        <w:rPr>
          <w:lang w:val="ru"/>
        </w:rPr>
        <w:t xml:space="preserve">7.3. ФСП-скор</w:t>
      </w:r>
      <w:bookmarkEnd w:id="51"/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p>
      <w:pPr>
        <w:pStyle w:val="Heading3"/>
      </w:pPr>
      <w:bookmarkStart w:id="52" w:name="_52f18380648064fabb3b7bf42e41ebc210f5e4f"/>
      <w:r>
        <w:rPr>
          <w:lang w:val="ru"/>
        </w:rPr>
        <w:t xml:space="preserve">7.4. Навыки, подтверждённые ФСП</w:t>
      </w:r>
      <w:bookmarkEnd w:id="52"/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p>
      <w:pPr>
        <w:pStyle w:val="Heading3"/>
      </w:pPr>
      <w:bookmarkStart w:id="53" w:name="_beea91bf3e09822aac0fc00adba3e58e0b31b28"/>
      <w:r>
        <w:rPr>
          <w:lang w:val="ru"/>
        </w:rPr>
        <w:t xml:space="preserve">7.5. Обновления из реестра: pull и push</w:t>
      </w:r>
      <w:bookmarkEnd w:id="53"/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5" name="Picture"/>
            <a:graphic>
              <a:graphicData uri="http://schemas.openxmlformats.org/drawingml/2006/picture">
                <pic:pic>
                  <pic:nvPicPr>
                    <pic:cNvPr descr="docs/img/fsp-sync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токен чтения API передаёт статическим Bearer, а если реестр выдаёт токены по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, клиент реестра потребует доработки (раздел 7.1). Ежедневную фоновую сверку как страховку от потерянных событий добавляют вместе с подключением реального реестра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</w:t>
      </w:r>
    </w:p>
    <w:p>
      <w:pPr>
        <w:pStyle w:val="Heading2"/>
      </w:pPr>
      <w:bookmarkStart w:id="58" w:name="_b027986f80df9cf0a99ed14e2032c9cf21f1ea9"/>
      <w:r>
        <w:rPr>
          <w:lang w:val="ru"/>
        </w:rPr>
        <w:t xml:space="preserve">8. Безопасность и 152-ФЗ</w:t>
      </w:r>
      <w:bookmarkEnd w:id="58"/>
    </w:p>
    <w:p>
      <w:pPr>
        <w:pStyle w:val="Heading3"/>
      </w:pPr>
      <w:bookmarkStart w:id="59" w:name="_аутентификация"/>
      <w:r>
        <w:rPr>
          <w:lang w:val="ru"/>
        </w:rPr>
        <w:t xml:space="preserve">8.1. Аутентификация</w:t>
      </w:r>
      <w:bookmarkEnd w:id="59"/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 Обновление в браузере одно на все вкладки (</w:t>
      </w:r>
      <w:r>
        <w:rPr>
          <w:rStyle w:val="VerbatimChar"/>
          <w:lang w:val="ru"/>
        </w:rPr>
        <w:t xml:space="preserve">web/src/api/refresh.ts</w:t>
      </w:r>
      <w:r>
        <w:rPr>
          <w:lang w:val="ru"/>
        </w:rPr>
        <w:t xml:space="preserve">): иначе два запроса с одной cookie выглядели бы как повторно предъявленный токен, цепочка отзывалась бы и пользователя выкидывало на вход. Запросы одной страницы ждут общий ответ, вкладки встают в очередь через Web Locks, а вкладка, дождавшаяся чужого обновления, свой refresh-токен не тратит.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p>
      <w:pPr>
        <w:pStyle w:val="Heading3"/>
      </w:pPr>
      <w:bookmarkStart w:id="60" w:name="_45f11056466b529c26a5843edfc6ecbc5ee1b48"/>
      <w:r>
        <w:rPr>
          <w:lang w:val="ru"/>
        </w:rPr>
        <w:t xml:space="preserve">8.2. Персональные данные</w:t>
      </w:r>
      <w:bookmarkEnd w:id="60"/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p>
      <w:pPr>
        <w:pStyle w:val="Heading3"/>
      </w:pPr>
      <w:bookmarkStart w:id="61" w:name="_be8b05542f561c6786c4bc64195de63b0b9d4a3"/>
      <w:r>
        <w:rPr>
          <w:lang w:val="ru"/>
        </w:rPr>
        <w:t xml:space="preserve">8.3. Разграничение доступа</w:t>
      </w:r>
      <w:bookmarkEnd w:id="61"/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p>
      <w:pPr>
        <w:pStyle w:val="Heading3"/>
      </w:pPr>
      <w:bookmarkStart w:id="62" w:name="_2a46b56f17dcc05f473775bd4d84c3c382b1a0d"/>
      <w:r>
        <w:rPr>
          <w:lang w:val="ru"/>
        </w:rPr>
        <w:t xml:space="preserve">8.4. ГОСТ и сертифицированная криптография</w:t>
      </w:r>
      <w:bookmarkEnd w:id="62"/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данных. Сейчас ГОСТ не используется: соответствие обеспечивает сертификация СКЗИ, а не сам алгоритм, поэтому переход делают при размещении платформы в контуре с сертифицированным СКЗИ.</w:t>
      </w:r>
    </w:p>
    <w:p>
      <w:pPr>
        <w:pStyle w:val="BodyText"/>
      </w:pPr>
      <w:r>
        <w:rPr>
          <w:lang w:val="ru"/>
        </w:rPr>
        <w:t xml:space="preserve">Ключ шифрования данных один: формат шифротекста несёт версию схемы, но не идентификатор ключа, поэтому сменить ключ без перешифровки всех данных нельзя, а инструмента перешифровки нет.</w:t>
      </w:r>
    </w:p>
    <w:p>
      <w:pPr>
        <w:pStyle w:val="Heading2"/>
      </w:pPr>
      <w:bookmarkStart w:id="63" w:name="_api"/>
      <w:r>
        <w:rPr>
          <w:lang w:val="ru"/>
        </w:rPr>
        <w:t xml:space="preserve">9. API</w:t>
      </w:r>
      <w:bookmarkEnd w:id="63"/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pStyle w:val="FirstParagraph"/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pStyle w:val="FirstParagraph"/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pStyle w:val="FirstParagraph"/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pStyle w:val="FirstParagraph"/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pStyle w:val="FirstParagraph"/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pStyle w:val="FirstParagraph"/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p>
      <w:pPr>
        <w:pStyle w:val="Heading2"/>
      </w:pPr>
      <w:bookmarkStart w:id="64" w:name="_4267c658b569f04d06a5ce3819c74760902142a"/>
      <w:r>
        <w:rPr>
          <w:lang w:val="ru"/>
        </w:rPr>
        <w:t xml:space="preserve">10. Антифейк и концепции вне MVP</w:t>
      </w:r>
      <w:bookmarkEnd w:id="64"/>
    </w:p>
    <w:p>
      <w:pPr>
        <w:pStyle w:val="Heading3"/>
      </w:pPr>
      <w:bookmarkStart w:id="65" w:name="_eb495cbd24731ad1810e9c52d8d79d498e31c0b"/>
      <w:r>
        <w:rPr>
          <w:lang w:val="ru"/>
        </w:rPr>
        <w:t xml:space="preserve">10.1. Защита от фиктивных вакансий и недобросовестных работодателей</w:t>
      </w:r>
      <w:bookmarkEnd w:id="65"/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FirstParagraph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подключить при внедрении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p>
      <w:pPr>
        <w:pStyle w:val="Heading3"/>
      </w:pPr>
      <w:bookmarkStart w:id="66" w:name="_02409a0c201508d7ad47db0949b21782d78330b"/>
      <w:r>
        <w:rPr>
          <w:lang w:val="ru"/>
        </w:rPr>
        <w:t xml:space="preserve">10.2. Интеграция с ATS работодателя</w:t>
      </w:r>
      <w:bookmarkEnd w:id="66"/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8" name="Picture"/>
            <a:graphic>
              <a:graphicData uri="http://schemas.openxmlformats.org/drawingml/2006/picture">
                <pic:pic>
                  <pic:nvPicPr>
                    <pic:cNvPr descr="docs/img/ats.sv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FirstParagraph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FirstParagraph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FirstParagraph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FirstParagraph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3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4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5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p>
      <w:pPr>
        <w:pStyle w:val="Heading3"/>
      </w:pPr>
      <w:bookmarkStart w:id="76" w:name="_масштабирование"/>
      <w:r>
        <w:rPr>
          <w:lang w:val="ru"/>
        </w:rPr>
        <w:t xml:space="preserve">10.3. Масштабирование</w:t>
      </w:r>
      <w:bookmarkEnd w:id="76"/>
    </w:p>
    <w:p>
      <w:pPr>
        <w:pStyle w:val="FirstParagraph"/>
      </w:pPr>
      <w:r>
        <w:rPr>
          <w:lang w:val="ru"/>
        </w:rPr>
        <w:t xml:space="preserve">При росте нагрузки: 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p>
      <w:pPr>
        <w:pStyle w:val="Heading2"/>
      </w:pPr>
      <w:bookmarkStart w:id="77" w:name="_80edfa6ef8c3c5fa1bd85c7710962ea0f4340dd"/>
      <w:r>
        <w:rPr>
          <w:lang w:val="ru"/>
        </w:rPr>
        <w:t xml:space="preserve">11. Библиотеки и компоненты</w:t>
      </w:r>
      <w:bookmarkEnd w:id="77"/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p>
      <w:pPr>
        <w:pStyle w:val="Heading2"/>
      </w:pPr>
      <w:bookmarkStart w:id="78" w:name="_7d0a55c0351e6afebee4a8fc76b078b924a4af0"/>
      <w:r>
        <w:rPr>
          <w:lang w:val="ru"/>
        </w:rPr>
        <w:t xml:space="preserve">12. Сборка, развёртывание и запуск</w:t>
      </w:r>
      <w:bookmarkEnd w:id="78"/>
    </w:p>
    <w:p>
      <w:pPr>
        <w:pStyle w:val="FirstParagraph"/>
      </w:pPr>
      <w:r>
        <w:rPr>
          <w:lang w:val="ru"/>
        </w:rPr>
        <w:t xml:space="preserve">Подробное руководство - запуск, все переменные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, переход с заглушек на боевые системы, эксплуатация и частые вопросы -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.</w:t>
      </w:r>
    </w:p>
    <w:p>
      <w:pPr>
        <w:pStyle w:val="Heading3"/>
      </w:pPr>
      <w:bookmarkStart w:id="79" w:name="_0c1be7370c1a7553a5db9b8abbdf7f76c3eac92"/>
      <w:r>
        <w:rPr>
          <w:lang w:val="ru"/>
        </w:rPr>
        <w:t xml:space="preserve">12.1. Docker (рекомендуется)</w:t>
      </w:r>
      <w:bookmarkEnd w:id="79"/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FirstParagraph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выдаётся, на своей базе модератора создаёт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5.8);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p>
      <w:pPr>
        <w:pStyle w:val="Heading3"/>
      </w:pPr>
      <w:bookmarkStart w:id="80" w:name="_58b492735d46bb951660819948428252d08490c"/>
      <w:r>
        <w:rPr>
          <w:lang w:val="ru"/>
        </w:rPr>
        <w:t xml:space="preserve">12.2. Локальная разработка без Docker</w:t>
      </w:r>
      <w:bookmarkEnd w:id="80"/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p>
      <w:pPr>
        <w:pStyle w:val="Heading3"/>
      </w:pPr>
      <w:bookmarkStart w:id="81" w:name="_bb142c5e815e578101df477681f878be2196658"/>
      <w:r>
        <w:rPr>
          <w:lang w:val="ru"/>
        </w:rPr>
        <w:t xml:space="preserve">12.3. Для VPS</w:t>
      </w:r>
      <w:bookmarkEnd w:id="81"/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2.5).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API_PROXY_URL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NEXT_PUBLIC_DEMO_LOGIN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API_PROXY_URL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NEXT_PUBLIC_DEMO_LOGIN</w:t>
      </w:r>
      <w:r>
        <w:rPr>
          <w:lang w:val="ru"/>
        </w:rPr>
        <w:t xml:space="preserve"> </w:t>
      </w:r>
      <w:r>
        <w:rPr>
          <w:lang w:val="ru"/>
        </w:rPr>
        <w:t xml:space="preserve">попадают в образ web при сборке: после смены - пересобрать web. В проде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NEXT_PUBLIC_DEMO_LOGIN=0</w:t>
      </w:r>
      <w:r>
        <w:rPr>
          <w:lang w:val="ru"/>
        </w:rPr>
        <w:t xml:space="preserve"> </w:t>
      </w:r>
      <w:r>
        <w:rPr>
          <w:lang w:val="ru"/>
        </w:rPr>
        <w:t xml:space="preserve">скрывает кнопки демо-входа.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Домен и TLS - своим оверлеем поверх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deploy/compose.prod.yml</w:t>
      </w:r>
      <w:r>
        <w:rPr>
          <w:lang w:val="ru"/>
        </w:rPr>
        <w:t xml:space="preserve"> </w:t>
      </w:r>
      <w:r>
        <w:rPr>
          <w:lang w:val="ru"/>
        </w:rPr>
        <w:t xml:space="preserve">с Caddy на портах 80 и 443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deploy/Caddyfile.prod</w:t>
      </w:r>
      <w:r>
        <w:rPr>
          <w:lang w:val="ru"/>
        </w:rPr>
        <w:t xml:space="preserve"> </w:t>
      </w:r>
      <w:r>
        <w:rPr>
          <w:lang w:val="ru"/>
        </w:rPr>
        <w:t xml:space="preserve">с доменом, без заглушек и Mailpit; Caddy сам получит TLS-сертификат. Пошагово и с чек-листом перед запуском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разделы 4.2 и 4.11.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2.4):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и архив видеозаписей тестов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их не расшифровать), 7 дней хранения, и перезапуск контейнеров с проваленным healthcheck - Docker сам перезапускает только упавшие.</w:t>
      </w:r>
    </w:p>
    <w:p>
      <w:pPr>
        <w:pStyle w:val="Heading3"/>
      </w:pPr>
      <w:bookmarkStart w:id="82" w:name="_43a183dc713dc02c7781ccf9a06d1468a108240"/>
      <w:r>
        <w:rPr>
          <w:lang w:val="ru"/>
        </w:rPr>
        <w:t xml:space="preserve">12.4. Производительность и кеширование</w:t>
      </w:r>
      <w:bookmarkEnd w:id="82"/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crates/api/src/cache.rs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crates/api/src/cards.rs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“Кеширование”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FirstParagraph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FirstParagraph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FirstParagraph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67" Target="media/rId67.svg" /><Relationship Type="http://schemas.openxmlformats.org/officeDocument/2006/relationships/image" Id="rId46" Target="media/rId46.svg" /><Relationship Type="http://schemas.openxmlformats.org/officeDocument/2006/relationships/image" Id="rId54" Target="media/rId54.svg" /><Relationship Type="http://schemas.openxmlformats.org/officeDocument/2006/relationships/image" Id="rId20" Target="media/rId20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70" Target="media/rId70.png" /><Relationship Type="http://schemas.openxmlformats.org/officeDocument/2006/relationships/hyperlink" Id="rId72" Target="https://api-doc.potok.io/public-api/index.html" TargetMode="External" /><Relationship Type="http://schemas.openxmlformats.org/officeDocument/2006/relationships/hyperlink" Id="rId71" Target="https://api.huntflow.ru/v2/docs" TargetMode="External" /><Relationship Type="http://schemas.openxmlformats.org/officeDocument/2006/relationships/hyperlink" Id="rId74" Target="https://api.talantix.ru/docs/" TargetMode="External" /><Relationship Type="http://schemas.openxmlformats.org/officeDocument/2006/relationships/hyperlink" Id="rId75" Target="https://hh.ru/article/32514" TargetMode="External" /><Relationship Type="http://schemas.openxmlformats.org/officeDocument/2006/relationships/hyperlink" Id="rId73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api-doc.potok.io/public-api/index.html" TargetMode="External" /><Relationship Type="http://schemas.openxmlformats.org/officeDocument/2006/relationships/hyperlink" Id="rId71" Target="https://api.huntflow.ru/v2/docs" TargetMode="External" /><Relationship Type="http://schemas.openxmlformats.org/officeDocument/2006/relationships/hyperlink" Id="rId74" Target="https://api.talantix.ru/docs/" TargetMode="External" /><Relationship Type="http://schemas.openxmlformats.org/officeDocument/2006/relationships/hyperlink" Id="rId75" Target="https://hh.ru/article/32514" TargetMode="External" /><Relationship Type="http://schemas.openxmlformats.org/officeDocument/2006/relationships/hyperlink" Id="rId73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2026-10-11T15:45:37Z</dcterms:created>
  <dcterms:modified xsi:type="dcterms:W3CDTF">2026-10-11T15:45:37Z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