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5"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Приглашение — без очереди.</w:t>
      </w:r>
      <w:r>
        <w:t xml:space="preserve"> </w:t>
      </w:r>
      <w: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0"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End w:id="30"/>
    <w:bookmarkStart w:id="37"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1"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1"/>
    <w:bookmarkStart w:id="32"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2"/>
    <w:bookmarkStart w:id="33"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3"/>
    <w:bookmarkStart w:id="34"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4"/>
    <w:bookmarkStart w:id="35"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5"/>
    <w:bookmarkStart w:id="36" w:name="X8a5c9760ad7cd46490a0ab2223e0ac8ef79506e"/>
    <w:p>
      <w:pPr>
        <w:pStyle w:val="Heading3"/>
      </w:pPr>
      <w:r>
        <w:t xml:space="preserve">6.6. Корректность кода: модульные и black-box тесты</w:t>
      </w:r>
    </w:p>
    <w:p>
      <w:pPr>
        <w:pStyle w:val="FirstParagraph"/>
      </w:pPr>
      <w: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rPr>
        <w:t xml:space="preserve">Модульные</w:t>
      </w:r>
      <w:r>
        <w:t xml:space="preserve"> </w:t>
      </w:r>
      <w:r>
        <w:t xml:space="preserve">(</w:t>
      </w:r>
      <w:r>
        <w:rPr>
          <w:rStyle w:val="VerbatimChar"/>
        </w:rPr>
        <w:t xml:space="preserve">make test</w:t>
      </w:r>
      <w:r>
        <w:t xml:space="preserve">, 514 тестов, секунды, без базы и сети). Чистые крейты</w:t>
      </w:r>
      <w:r>
        <w:t xml:space="preserve"> </w:t>
      </w:r>
      <w:r>
        <w:rPr>
          <w:rStyle w:val="VerbatimChar"/>
        </w:rPr>
        <w:t xml:space="preserve">assessment</w:t>
      </w:r>
      <w:r>
        <w:t xml:space="preserve">,</w:t>
      </w:r>
      <w:r>
        <w:t xml:space="preserve"> </w:t>
      </w:r>
      <w:r>
        <w:rPr>
          <w:rStyle w:val="VerbatimChar"/>
        </w:rPr>
        <w:t xml:space="preserve">matching</w:t>
      </w:r>
      <w:r>
        <w:t xml:space="preserve">,</w:t>
      </w:r>
      <w:r>
        <w:t xml:space="preserve"> </w:t>
      </w:r>
      <w:r>
        <w:rPr>
          <w:rStyle w:val="VerbatimChar"/>
        </w:rPr>
        <w:t xml:space="preserve">catalog</w:t>
      </w:r>
      <w:r>
        <w:t xml:space="preserve"> </w:t>
      </w:r>
      <w: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w:t>
      </w:r>
    </w:p>
    <w:p>
      <w:pPr>
        <w:pStyle w:val="BodyText"/>
      </w:pPr>
      <w:r>
        <w:rPr>
          <w:b/>
          <w:bCs/>
        </w:rPr>
        <w:t xml:space="preserve">Black-box</w:t>
      </w:r>
      <w:r>
        <w:t xml:space="preserve"> </w:t>
      </w:r>
      <w:r>
        <w:t xml:space="preserve">(</w:t>
      </w:r>
      <w:r>
        <w:rPr>
          <w:rStyle w:val="VerbatimChar"/>
        </w:rPr>
        <w:t xml:space="preserve">make blackbox</w:t>
      </w:r>
      <w:r>
        <w:t xml:space="preserve">, Playwright, ~14 файлов сценариев).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 проверяется</w:t>
            </w:r>
          </w:p>
        </w:tc>
        <w:tc>
          <w:tcPr/>
          <w:p>
            <w:pPr>
              <w:pStyle w:val="Compact"/>
            </w:pPr>
            <w:r>
              <w:t xml:space="preserve">Сценарии</w:t>
            </w:r>
          </w:p>
        </w:tc>
      </w:tr>
      <w:tr>
        <w:tc>
          <w:tcPr/>
          <w:p>
            <w:pPr>
              <w:pStyle w:val="Compact"/>
            </w:pPr>
            <w:r>
              <w:t xml:space="preserve">Обязательный сценарий ТЗ</w:t>
            </w:r>
          </w:p>
        </w:tc>
        <w:tc>
          <w:tcPr/>
          <w:p>
            <w:pPr>
              <w:pStyle w:val="Compact"/>
            </w:pPr>
            <w: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t xml:space="preserve">Видеозапись</w:t>
            </w:r>
          </w:p>
        </w:tc>
        <w:tc>
          <w:tcPr/>
          <w:p>
            <w:pPr>
              <w:pStyle w:val="Compact"/>
            </w:pPr>
            <w:r>
              <w:t xml:space="preserve">Соискатель смотрит свою запись, работодателю видео недоступно (403), в карточке — только отметка</w:t>
            </w:r>
          </w:p>
        </w:tc>
      </w:tr>
      <w:tr>
        <w:tc>
          <w:tcPr/>
          <w:p>
            <w:pPr>
              <w:pStyle w:val="Compact"/>
            </w:pPr>
            <w:r>
              <w:t xml:space="preserve">152-ФЗ</w:t>
            </w:r>
          </w:p>
        </w:tc>
        <w:tc>
          <w:tcPr/>
          <w:p>
            <w:pPr>
              <w:pStyle w:val="Compact"/>
            </w:pPr>
            <w: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t xml:space="preserve"> </w:t>
            </w:r>
            <w:r>
              <w:rPr>
                <w:rStyle w:val="VerbatimChar"/>
              </w:rPr>
              <w:t xml:space="preserve">/privacy</w:t>
            </w:r>
            <w:r>
              <w:t xml:space="preserve">; одновременные регистрации на один email</w:t>
            </w:r>
          </w:p>
        </w:tc>
      </w:tr>
      <w:tr>
        <w:tc>
          <w:tcPr/>
          <w:p>
            <w:pPr>
              <w:pStyle w:val="Compact"/>
            </w:pPr>
            <w:r>
              <w:t xml:space="preserve">14–17 лет</w:t>
            </w:r>
          </w:p>
        </w:tc>
        <w:tc>
          <w:tcPr/>
          <w:p>
            <w:pPr>
              <w:pStyle w:val="Compact"/>
            </w:pPr>
            <w: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t xml:space="preserve">Модерация</w:t>
            </w:r>
          </w:p>
        </w:tc>
        <w:tc>
          <w:tcPr/>
          <w:p>
            <w:pPr>
              <w:pStyle w:val="Compact"/>
            </w:pPr>
            <w: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t xml:space="preserve">Уведомления</w:t>
            </w:r>
          </w:p>
        </w:tc>
        <w:tc>
          <w:tcPr/>
          <w:p>
            <w:pPr>
              <w:pStyle w:val="Compact"/>
            </w:pPr>
            <w:r>
              <w:t xml:space="preserve">Письмо о приглашении с вилкой, сроком и</w:t>
            </w:r>
            <w:r>
              <w:t xml:space="preserve"> </w:t>
            </w:r>
            <w:r>
              <w:rPr>
                <w:rStyle w:val="VerbatimChar"/>
              </w:rPr>
              <w:t xml:space="preserve">List-Unsubscribe</w:t>
            </w:r>
            <w:r>
              <w:t xml:space="preserve">, значок; принятие — уведомление и письмо компании без ПДн; отписка в один клик</w:t>
            </w:r>
          </w:p>
        </w:tc>
      </w:tr>
      <w:tr>
        <w:tc>
          <w:tcPr/>
          <w:p>
            <w:pPr>
              <w:pStyle w:val="Compact"/>
            </w:pPr>
            <w:r>
              <w:t xml:space="preserve">ATS и реестр ФСП</w:t>
            </w:r>
          </w:p>
        </w:tc>
        <w:tc>
          <w:tcPr/>
          <w:p>
            <w:pPr>
              <w:pStyle w:val="Compact"/>
            </w:pPr>
            <w:r>
              <w:t xml:space="preserve">Вебхук и API-ключ в «Интеграциях»; подписанные события в демо-ATS, контакты только в</w:t>
            </w:r>
            <w:r>
              <w:t xml:space="preserve"> </w:t>
            </w:r>
            <w:r>
              <w:rPr>
                <w:rStyle w:val="VerbatimChar"/>
              </w:rPr>
              <w:t xml:space="preserve">invitation.accepted</w:t>
            </w:r>
            <w: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t xml:space="preserve">Доверие и API</w:t>
            </w:r>
          </w:p>
        </w:tc>
        <w:tc>
          <w:tcPr/>
          <w:p>
            <w:pPr>
              <w:pStyle w:val="Compact"/>
            </w:pPr>
            <w:r>
              <w:t xml:space="preserve">Страница доверия новой компании, предупреждение о вилке, похожая вакансия, двойная отправка с</w:t>
            </w:r>
            <w:r>
              <w:t xml:space="preserve"> </w:t>
            </w:r>
            <w:r>
              <w:rPr>
                <w:rStyle w:val="VerbatimChar"/>
              </w:rPr>
              <w:t xml:space="preserve">Idempotency-Key</w:t>
            </w:r>
            <w:r>
              <w:t xml:space="preserve">; problem+json,</w:t>
            </w:r>
            <w:r>
              <w:t xml:space="preserve"> </w:t>
            </w:r>
            <w:r>
              <w:rPr>
                <w:rStyle w:val="VerbatimChar"/>
              </w:rPr>
              <w:t xml:space="preserve">Location</w:t>
            </w:r>
            <w:r>
              <w:t xml:space="preserve">, кеширование с ETag/304,</w:t>
            </w:r>
            <w:r>
              <w:t xml:space="preserve"> </w:t>
            </w:r>
            <w:r>
              <w:rPr>
                <w:rStyle w:val="VerbatimChar"/>
              </w:rPr>
              <w:t xml:space="preserve">POST /eval/pairs</w:t>
            </w:r>
            <w:r>
              <w:t xml:space="preserve"> </w:t>
            </w:r>
            <w:r>
              <w:t xml:space="preserve">воспроизводит отчёт §6.4</w:t>
            </w:r>
          </w:p>
        </w:tc>
      </w:tr>
      <w:tr>
        <w:tc>
          <w:tcPr/>
          <w:p>
            <w:pPr>
              <w:pStyle w:val="Compact"/>
            </w:pPr>
            <w:r>
              <w:t xml:space="preserve">Сайт</w:t>
            </w:r>
          </w:p>
        </w:tc>
        <w:tc>
          <w:tcPr/>
          <w:p>
            <w:pPr>
              <w:pStyle w:val="Compact"/>
            </w:pPr>
            <w:r>
              <w:t xml:space="preserve">200 и один</w:t>
            </w:r>
            <w:r>
              <w:t xml:space="preserve"> </w:t>
            </w:r>
            <w:r>
              <w:rPr>
                <w:rStyle w:val="VerbatimChar"/>
              </w:rPr>
              <w:t xml:space="preserve">h1</w:t>
            </w:r>
            <w:r>
              <w:t xml:space="preserve">,</w:t>
            </w:r>
            <w:r>
              <w:t xml:space="preserve"> </w:t>
            </w:r>
            <w:r>
              <w:rPr>
                <w:rStyle w:val="VerbatimChar"/>
              </w:rPr>
              <w:t xml:space="preserve">robots.txt</w:t>
            </w:r>
            <w:r>
              <w:t xml:space="preserve">,</w:t>
            </w:r>
            <w:r>
              <w:t xml:space="preserve"> </w:t>
            </w:r>
            <w:r>
              <w:rPr>
                <w:rStyle w:val="VerbatimChar"/>
              </w:rPr>
              <w:t xml:space="preserve">sitemap.xml</w:t>
            </w:r>
            <w:r>
              <w:t xml:space="preserve">,</w:t>
            </w:r>
            <w:r>
              <w:t xml:space="preserve"> </w:t>
            </w:r>
            <w:r>
              <w:rPr>
                <w:rStyle w:val="VerbatimChar"/>
              </w:rPr>
              <w:t xml:space="preserve">llms.txt</w:t>
            </w:r>
            <w:r>
              <w:t xml:space="preserve">, JSON-LD с</w:t>
            </w:r>
            <w:r>
              <w:t xml:space="preserve"> </w:t>
            </w:r>
            <w:r>
              <w:rPr>
                <w:rStyle w:val="VerbatimChar"/>
              </w:rPr>
              <w:t xml:space="preserve">JobPosting</w:t>
            </w:r>
            <w:r>
              <w:t xml:space="preserve">; axe без нарушений и без горизонтальной прокрутки на 375 px на публичных страницах и в кабинетах</w:t>
            </w:r>
          </w:p>
        </w:tc>
      </w:tr>
    </w:tbl>
    <w:p>
      <w:pPr>
        <w:pStyle w:val="BodyText"/>
      </w:pPr>
      <w:r>
        <w:rPr>
          <w:b/>
          <w:bCs/>
        </w:rPr>
        <w:t xml:space="preserve">Что не покрыто и почему.</w:t>
      </w:r>
      <w:r>
        <w:t xml:space="preserve"> </w:t>
      </w:r>
      <w: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t xml:space="preserve"> </w:t>
      </w:r>
      <w:r>
        <w:rPr>
          <w:rStyle w:val="VerbatimChar"/>
        </w:rPr>
        <w:t xml:space="preserve">SKIP LOCKED</w:t>
      </w:r>
      <w: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t xml:space="preserve"> </w:t>
      </w:r>
      <w:r>
        <w:rPr>
          <w:rStyle w:val="VerbatimChar"/>
        </w:rPr>
        <w:t xml:space="preserve">now</w:t>
      </w:r>
      <w:r>
        <w:t xml:space="preserve">.</w:t>
      </w:r>
    </w:p>
    <w:bookmarkEnd w:id="36"/>
    <w:bookmarkEnd w:id="37"/>
    <w:bookmarkStart w:id="43" w:name="интеграция-с-фсп"/>
    <w:p>
      <w:pPr>
        <w:pStyle w:val="Heading2"/>
      </w:pPr>
      <w:r>
        <w:t xml:space="preserve">7. Интеграция с ФСП</w:t>
      </w:r>
    </w:p>
    <w:bookmarkStart w:id="38"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8"/>
    <w:bookmarkStart w:id="39"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9"/>
    <w:bookmarkStart w:id="40"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0"/>
    <w:bookmarkStart w:id="41"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1"/>
    <w:bookmarkStart w:id="42" w:name="обновления-из-реестра-pull-и-push"/>
    <w:p>
      <w:pPr>
        <w:pStyle w:val="Heading3"/>
      </w:pPr>
      <w:r>
        <w:t xml:space="preserve">7.5. Обновления из реестра: pull и push</w:t>
      </w:r>
    </w:p>
    <w:p>
      <w:pPr>
        <w:pStyle w:val="FirstParagraph"/>
      </w:pPr>
      <w:r>
        <w:t xml:space="preserve">Достижения попадают в профиль двумя путями.</w:t>
      </w:r>
      <w:r>
        <w:t xml:space="preserve"> </w:t>
      </w:r>
      <w:r>
        <w:rPr>
          <w:b/>
          <w:bCs/>
        </w:rPr>
        <w:t xml:space="preserve">Pull</w:t>
      </w:r>
      <w:r>
        <w:t xml:space="preserve"> </w:t>
      </w:r>
      <w:r>
        <w:t xml:space="preserve">— платформа сама спрашивает реестр: при привязке ФСП ID и по кнопке «Обновить из реестра».</w:t>
      </w:r>
      <w:r>
        <w:t xml:space="preserve"> </w:t>
      </w:r>
      <w:r>
        <w:rPr>
          <w:b/>
          <w:bCs/>
        </w:rPr>
        <w:t xml:space="preserve">Push</w:t>
      </w:r>
      <w:r>
        <w:t xml:space="preserve"> </w:t>
      </w:r>
      <w: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SourceCode"/>
      </w:pPr>
      <w:r>
        <w:rPr>
          <w:rStyle w:val="VerbatimChar"/>
        </w:rPr>
        <w:t xml:space="preserve">PULL (привязка, «Обновить из реестра»)</w:t>
      </w:r>
      <w:r>
        <w:br/>
      </w:r>
      <w:r>
        <w:rPr>
          <w:rStyle w:val="VerbatimChar"/>
        </w:rPr>
        <w:t xml:space="preserve">Соискатель ──▶ API: POST /fsp/sync</w:t>
      </w:r>
      <w:r>
        <w:br/>
      </w:r>
      <w:r>
        <w:rPr>
          <w:rStyle w:val="VerbatimChar"/>
        </w:rPr>
        <w:t xml:space="preserve">                 API ──▶ Реестр: GET /participants/{fsp_id}/achievements (Bearer)</w:t>
      </w:r>
      <w:r>
        <w:br/>
      </w:r>
      <w:r>
        <w:rPr>
          <w:rStyle w:val="VerbatimChar"/>
        </w:rPr>
        <w:t xml:space="preserve">                 API ◀── достижения</w:t>
      </w:r>
      <w:r>
        <w:br/>
      </w:r>
      <w:r>
        <w:rPr>
          <w:rStyle w:val="VerbatimChar"/>
        </w:rPr>
        <w:t xml:space="preserve">                 транзакция: снимок + навыки, подтверждённые ФСП → сброс кеша подбора</w:t>
      </w:r>
      <w:r>
        <w:br/>
      </w:r>
      <w:r>
        <w:rPr>
          <w:rStyle w:val="VerbatimChar"/>
        </w:rPr>
        <w:t xml:space="preserve">Соискатель ◀── обновлённый список</w:t>
      </w:r>
      <w:r>
        <w:br/>
      </w:r>
      <w:r>
        <w:br/>
      </w:r>
      <w:r>
        <w:rPr>
          <w:rStyle w:val="VerbatimChar"/>
        </w:rPr>
        <w:t xml:space="preserve">PUSH (новый результат в реестре)</w:t>
      </w:r>
      <w:r>
        <w:br/>
      </w:r>
      <w:r>
        <w:rPr>
          <w:rStyle w:val="VerbatimChar"/>
        </w:rPr>
        <w:t xml:space="preserve">Реестр ──▶ API: POST /fsp/registry/events {event_id, type: achievements.changed, fsp_id, occurred_at}</w:t>
      </w:r>
      <w:r>
        <w:br/>
      </w:r>
      <w:r>
        <w:rPr>
          <w:rStyle w:val="VerbatimChar"/>
        </w:rPr>
        <w:t xml:space="preserve">                FSP-Signature: t=…,v1=HMAC-SHA256(общий секрет, t + "." + тело)</w:t>
      </w:r>
      <w:r>
        <w:br/>
      </w:r>
      <w:r>
        <w:rPr>
          <w:rStyle w:val="VerbatimChar"/>
        </w:rPr>
        <w:t xml:space="preserve">           API: лимит → подпись и метка времени (±5 минут) → fsp_id привязан? event_id новый?</w:t>
      </w:r>
      <w:r>
        <w:br/>
      </w:r>
      <w:r>
        <w:rPr>
          <w:rStyle w:val="VerbatimChar"/>
        </w:rPr>
        <w:t xml:space="preserve">           API ──▶ Реестр: GET /participants/{fsp_id}/achievements (Bearer) — та же синхронизация, что в pull</w:t>
      </w:r>
      <w:r>
        <w:br/>
      </w:r>
      <w:r>
        <w:rPr>
          <w:rStyle w:val="VerbatimChar"/>
        </w:rPr>
        <w:t xml:space="preserve">           транзакция: событие, снимок, навыки, уведомление «Новые достижения ФСП в профиле»</w:t>
      </w:r>
      <w:r>
        <w:br/>
      </w:r>
      <w:r>
        <w:rPr>
          <w:rStyle w:val="VerbatimChar"/>
        </w:rPr>
        <w:t xml:space="preserve">           после коммита — сброс кеша подбора, если что-то изменилось</w:t>
      </w:r>
      <w:r>
        <w:br/>
      </w:r>
      <w:r>
        <w:rPr>
          <w:rStyle w:val="VerbatimChar"/>
        </w:rPr>
        <w:t xml:space="preserve">Реестр ◀── 202</w:t>
      </w:r>
    </w:p>
    <w:p>
      <w:pPr>
        <w:pStyle w:val="Compact"/>
        <w:numPr>
          <w:ilvl w:val="0"/>
          <w:numId w:val="1011"/>
        </w:numPr>
      </w:pPr>
      <w:r>
        <w:rPr>
          <w:b/>
          <w:bCs/>
        </w:rPr>
        <w:t xml:space="preserve">В событии нет данных</w:t>
      </w:r>
      <w:r>
        <w:t xml:space="preserve"> </w:t>
      </w:r>
      <w: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rPr>
        <w:t xml:space="preserve">Подпись</w:t>
      </w:r>
      <w:r>
        <w:t xml:space="preserve"> </w:t>
      </w:r>
      <w: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rPr>
        <w:t xml:space="preserve">Ровно один раз.</w:t>
      </w:r>
      <w:r>
        <w:t xml:space="preserve"> </w:t>
      </w:r>
      <w:r>
        <w:t xml:space="preserve">Повтор события с тем же</w:t>
      </w:r>
      <w:r>
        <w:t xml:space="preserve"> </w:t>
      </w:r>
      <w:r>
        <w:rPr>
          <w:rStyle w:val="VerbatimChar"/>
        </w:rPr>
        <w:t xml:space="preserve">event_id</w:t>
      </w:r>
      <w:r>
        <w:t xml:space="preserve"> </w:t>
      </w:r>
      <w: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rPr>
        <w:t xml:space="preserve">Ничего о чужих.</w:t>
      </w:r>
      <w:r>
        <w:t xml:space="preserve"> </w:t>
      </w:r>
      <w: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rPr>
        <w:t xml:space="preserve">Демо.</w:t>
      </w:r>
      <w:r>
        <w:t xml:space="preserve"> </w:t>
      </w:r>
      <w:r>
        <w:t xml:space="preserve">Заглушка реестра (</w:t>
      </w:r>
      <w:r>
        <w:rPr>
          <w:rStyle w:val="VerbatimChar"/>
        </w:rPr>
        <w:t xml:space="preserve">fsp-mock</w:t>
      </w:r>
      <w: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rPr>
        <w:t xml:space="preserve">С настоящим реестром</w:t>
      </w:r>
      <w:r>
        <w:t xml:space="preserve"> </w:t>
      </w:r>
      <w:r>
        <w:t xml:space="preserve">нужны адрес для событий и общий секрет (</w:t>
      </w:r>
      <w:r>
        <w:rPr>
          <w:rStyle w:val="VerbatimChar"/>
        </w:rPr>
        <w:t xml:space="preserve">FSP_REGISTRY_WEBHOOK_SECRET</w:t>
      </w:r>
      <w:r>
        <w:t xml:space="preserve">); вместо статического токена чтения — client credentials realm</w:t>
      </w:r>
      <w:r>
        <w:t xml:space="preserve"> </w:t>
      </w:r>
      <w:r>
        <w:rPr>
          <w:rStyle w:val="VerbatimChar"/>
        </w:rPr>
        <w:t xml:space="preserve">fsp</w:t>
      </w:r>
      <w:r>
        <w:t xml:space="preserve"> </w:t>
      </w:r>
      <w:r>
        <w:t xml:space="preserve">(§7.1). Ежедневная фоновая сверка — страховка от потерянных событий, следующий шаг.</w:t>
      </w:r>
    </w:p>
    <w:bookmarkEnd w:id="42"/>
    <w:bookmarkEnd w:id="43"/>
    <w:bookmarkStart w:id="48" w:name="безопасность-и-152-фз"/>
    <w:p>
      <w:pPr>
        <w:pStyle w:val="Heading2"/>
      </w:pPr>
      <w:r>
        <w:t xml:space="preserve">8. Безопасность и 152-ФЗ</w:t>
      </w:r>
    </w:p>
    <w:bookmarkStart w:id="44" w:name="аутентификация"/>
    <w:p>
      <w:pPr>
        <w:pStyle w:val="Heading3"/>
      </w:pPr>
      <w:r>
        <w:t xml:space="preserve">8.1. Аутентификация</w:t>
      </w:r>
    </w:p>
    <w:p>
      <w:pPr>
        <w:pStyle w:val="Compact"/>
        <w:numPr>
          <w:ilvl w:val="0"/>
          <w:numId w:val="1012"/>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t xml:space="preserve">Защита от CSRF: изменяющие запросы с cookie принимаются только с собственного Origin.</w:t>
      </w:r>
    </w:p>
    <w:p>
      <w:pPr>
        <w:pStyle w:val="Compact"/>
        <w:numPr>
          <w:ilvl w:val="0"/>
          <w:numId w:val="1012"/>
        </w:numPr>
      </w:pPr>
      <w:r>
        <w:t xml:space="preserve">Ограничение частоты: вход, регистрация, повторные письма, приглашения, жалобы.</w:t>
      </w:r>
    </w:p>
    <w:bookmarkEnd w:id="44"/>
    <w:bookmarkStart w:id="45" w:name="персональные-данные"/>
    <w:p>
      <w:pPr>
        <w:pStyle w:val="Heading3"/>
      </w:pPr>
      <w:r>
        <w:t xml:space="preserve">8.2. Персональные данные</w:t>
      </w:r>
    </w:p>
    <w:p>
      <w:pPr>
        <w:pStyle w:val="Compact"/>
        <w:numPr>
          <w:ilvl w:val="0"/>
          <w:numId w:val="1013"/>
        </w:numPr>
      </w:pPr>
      <w: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t xml:space="preserve">Удаление аккаунта стирает персональные данные, связи обезличиваются.</w:t>
      </w:r>
    </w:p>
    <w:p>
      <w:pPr>
        <w:pStyle w:val="Compact"/>
        <w:numPr>
          <w:ilvl w:val="0"/>
          <w:numId w:val="1013"/>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5"/>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5"/>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5"/>
    <w:bookmarkStart w:id="46" w:name="разграничение-доступа"/>
    <w:p>
      <w:pPr>
        <w:pStyle w:val="Heading3"/>
      </w:pPr>
      <w:r>
        <w:t xml:space="preserve">8.3. Разграничение доступа</w:t>
      </w:r>
    </w:p>
    <w:p>
      <w:pPr>
        <w:pStyle w:val="Compact"/>
        <w:numPr>
          <w:ilvl w:val="0"/>
          <w:numId w:val="1016"/>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6"/>
    <w:bookmarkStart w:id="47"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7"/>
    <w:bookmarkEnd w:id="48"/>
    <w:bookmarkStart w:id="49"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130 операций на 110 путях; у основных запросов — примеры тел, у созданных ресурсов — заголовок</w:t>
      </w:r>
      <w:r>
        <w:t xml:space="preserve"> </w:t>
      </w:r>
      <w:r>
        <w:rPr>
          <w:rStyle w:val="VerbatimChar"/>
        </w:rPr>
        <w:t xml:space="preserve">Location</w:t>
      </w:r>
      <w:r>
        <w:t xml:space="preserve">.</w:t>
      </w:r>
    </w:p>
    <w:p>
      <w:pPr>
        <w:numPr>
          <w:ilvl w:val="0"/>
          <w:numId w:val="1017"/>
        </w:numPr>
      </w:pPr>
      <w: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t xml:space="preserve"> </w:t>
      </w:r>
      <w:r>
        <w:rPr>
          <w:rStyle w:val="VerbatimChar"/>
        </w:rPr>
        <w:t xml:space="preserve">cursor</w:t>
      </w:r>
      <w:r>
        <w:t xml:space="preserve"> </w:t>
      </w:r>
      <w:r>
        <w:t xml:space="preserve">/</w:t>
      </w:r>
      <w:r>
        <w:t xml:space="preserve"> </w:t>
      </w:r>
      <w:r>
        <w:rPr>
          <w:rStyle w:val="VerbatimChar"/>
        </w:rPr>
        <w:t xml:space="preserve">next_cursor</w:t>
      </w:r>
      <w:r>
        <w:t xml:space="preserve">. Повтор безопасен: вакансия и приглашение с одним</w:t>
      </w:r>
      <w:r>
        <w:t xml:space="preserve"> </w:t>
      </w:r>
      <w:r>
        <w:rPr>
          <w:rStyle w:val="VerbatimChar"/>
        </w:rPr>
        <w:t xml:space="preserve">Idempotency-Key</w:t>
      </w:r>
      <w:r>
        <w:t xml:space="preserve"> </w:t>
      </w:r>
      <w:r>
        <w:t xml:space="preserve">создаются один раз, импорт вакансии из ATS с тем же</w:t>
      </w:r>
      <w:r>
        <w:t xml:space="preserve"> </w:t>
      </w:r>
      <w:r>
        <w:rPr>
          <w:rStyle w:val="VerbatimChar"/>
        </w:rPr>
        <w:t xml:space="preserve">external_id</w:t>
      </w:r>
      <w:r>
        <w:t xml:space="preserve"> </w:t>
      </w:r>
      <w:r>
        <w:t xml:space="preserve">возвращает уже созданную потребность, повторная жалоба на тот же объект — ту же открытую жалобу.</w:t>
      </w:r>
    </w:p>
    <w:p>
      <w:pPr>
        <w:numPr>
          <w:ilvl w:val="0"/>
          <w:numId w:val="1017"/>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numPr>
          <w:ilvl w:val="0"/>
          <w:numId w:val="1017"/>
        </w:numPr>
      </w:pPr>
      <w:r>
        <w:t xml:space="preserve">Формат: JSON, даты RFC 3339, деньги — целые рубли.</w:t>
      </w:r>
    </w:p>
    <w:p>
      <w:pPr>
        <w:numPr>
          <w:ilvl w:val="0"/>
          <w:numId w:val="1017"/>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numPr>
          <w:ilvl w:val="0"/>
          <w:numId w:val="1017"/>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numPr>
          <w:ilvl w:val="0"/>
          <w:numId w:val="1017"/>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 приём подписанных событий реестра</w:t>
            </w:r>
          </w:p>
        </w:tc>
        <w:tc>
          <w:tcPr/>
          <w:p>
            <w:pPr>
              <w:pStyle w:val="Compact"/>
              <w:jc w:val="left"/>
            </w:pPr>
            <w:r>
              <w:t xml:space="preserve">7</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49"/>
    <w:bookmarkStart w:id="58" w:name="антифейк-и-концепции-вне-mvp"/>
    <w:p>
      <w:pPr>
        <w:pStyle w:val="Heading2"/>
      </w:pPr>
      <w:r>
        <w:t xml:space="preserve">10. Антифейк и концепции вне MVP</w:t>
      </w:r>
    </w:p>
    <w:bookmarkStart w:id="50"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8"/>
        </w:numPr>
      </w:pPr>
      <w:r>
        <w:t xml:space="preserve">новая компания начинает с 10 приглашений в неделю;</w:t>
      </w:r>
    </w:p>
    <w:p>
      <w:pPr>
        <w:pStyle w:val="Compact"/>
        <w:numPr>
          <w:ilvl w:val="0"/>
          <w:numId w:val="1018"/>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rPr>
        <w:t xml:space="preserve">Следующие шаги.</w:t>
      </w:r>
    </w:p>
    <w:p>
      <w:pPr>
        <w:pStyle w:val="Compact"/>
        <w:numPr>
          <w:ilvl w:val="0"/>
          <w:numId w:val="1019"/>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t xml:space="preserve">Подтверждение домена DNS-записью TXT — для компаний, которые не могут войти с корпоративной почты.</w:t>
      </w:r>
    </w:p>
    <w:p>
      <w:pPr>
        <w:pStyle w:val="Compact"/>
        <w:numPr>
          <w:ilvl w:val="0"/>
          <w:numId w:val="1019"/>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t xml:space="preserve">Эмбеддинги текста (pgvector) для пересказанных копий: MinHash ловит правки и перестановки, но не перефразирование.</w:t>
      </w:r>
    </w:p>
    <w:bookmarkEnd w:id="50"/>
    <w:bookmarkStart w:id="56"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t xml:space="preserve"> </w:t>
            </w:r>
            <w:r>
              <w:rPr>
                <w:rStyle w:val="VerbatimChar"/>
              </w:rPr>
              <w:t xml:space="preserve">external_id</w:t>
            </w:r>
            <w:r>
              <w:t xml:space="preserve"> </w:t>
            </w:r>
            <w:r>
              <w:t xml:space="preserve">(id вакансии в ATS) повтор ничего не создаёт и возвращает ту же потребность</w:t>
            </w:r>
          </w:p>
        </w:tc>
      </w:tr>
      <w:tr>
        <w:tc>
          <w:tcPr/>
          <w:p>
            <w:pPr>
              <w:pStyle w:val="Compact"/>
              <w:jc w:val="left"/>
            </w:pPr>
            <w:r>
              <w:t xml:space="preserve">Опрос вместо вебхука</w:t>
            </w:r>
          </w:p>
        </w:tc>
        <w:tc>
          <w:tcPr/>
          <w:p>
            <w:pPr>
              <w:pStyle w:val="Compact"/>
              <w:jc w:val="left"/>
            </w:pPr>
            <w:r>
              <w:rPr>
                <w:rStyle w:val="VerbatimChar"/>
              </w:rPr>
              <w:t xml:space="preserve">GET /integrations/invitations</w:t>
            </w:r>
            <w:r>
              <w:t xml:space="preserve"> </w:t>
            </w:r>
            <w: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20"/>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20"/>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1"/>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1"/>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51">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2">
        <w:r>
          <w:rPr>
            <w:rStyle w:val="Hyperlink"/>
          </w:rPr>
          <w:t xml:space="preserve">публичное API «Потока» v3</w:t>
        </w:r>
      </w:hyperlink>
      <w:r>
        <w:t xml:space="preserve"> </w:t>
      </w:r>
      <w:r>
        <w:t xml:space="preserve">и</w:t>
      </w:r>
      <w:r>
        <w:t xml:space="preserve"> </w:t>
      </w:r>
      <w:hyperlink r:id="rId53">
        <w:r>
          <w:rPr>
            <w:rStyle w:val="Hyperlink"/>
          </w:rPr>
          <w:t xml:space="preserve">описание на сайте</w:t>
        </w:r>
      </w:hyperlink>
      <w:r>
        <w:t xml:space="preserve">,</w:t>
      </w:r>
      <w:r>
        <w:t xml:space="preserve"> </w:t>
      </w:r>
      <w:hyperlink r:id="rId54">
        <w:r>
          <w:rPr>
            <w:rStyle w:val="Hyperlink"/>
          </w:rPr>
          <w:t xml:space="preserve">документация API Talantix</w:t>
        </w:r>
      </w:hyperlink>
      <w:r>
        <w:t xml:space="preserve"> </w:t>
      </w:r>
      <w:r>
        <w:t xml:space="preserve">и</w:t>
      </w:r>
      <w:r>
        <w:t xml:space="preserve"> </w:t>
      </w:r>
      <w:hyperlink r:id="rId55">
        <w:r>
          <w:rPr>
            <w:rStyle w:val="Hyperlink"/>
          </w:rPr>
          <w:t xml:space="preserve">анонс API Talantix 2.0 на hh.ru</w:t>
        </w:r>
      </w:hyperlink>
      <w:r>
        <w:t xml:space="preserve">.</w:t>
      </w:r>
    </w:p>
    <w:bookmarkEnd w:id="56"/>
    <w:bookmarkStart w:id="57"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7"/>
    <w:bookmarkEnd w:id="58"/>
    <w:bookmarkStart w:id="59"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9"/>
    <w:bookmarkStart w:id="64" w:name="сборка-развёртывание-и-запуск"/>
    <w:p>
      <w:pPr>
        <w:pStyle w:val="Heading2"/>
      </w:pPr>
      <w:r>
        <w:t xml:space="preserve">12. Сборка, развёртывание и запуск</w:t>
      </w:r>
    </w:p>
    <w:bookmarkStart w:id="60"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60"/>
    <w:bookmarkStart w:id="61"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модульные тесты, без базы и сети</w:t>
      </w:r>
      <w:r>
        <w:br/>
      </w:r>
      <w:r>
        <w:rPr>
          <w:rStyle w:val="FunctionTok"/>
        </w:rPr>
        <w:t xml:space="preserve">make</w:t>
      </w:r>
      <w:r>
        <w:rPr>
          <w:rStyle w:val="NormalTok"/>
        </w:rPr>
        <w:t xml:space="preserve"> blackbox            </w:t>
      </w:r>
      <w:r>
        <w:rPr>
          <w:rStyle w:val="CommentTok"/>
        </w:rPr>
        <w:t xml:space="preserve"># black-box тесты на свежем стеке в Docker (§6.6)</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61"/>
    <w:bookmarkStart w:id="62" w:name="для-vps"/>
    <w:p>
      <w:pPr>
        <w:pStyle w:val="Heading3"/>
      </w:pPr>
      <w:r>
        <w:t xml:space="preserve">12.3. Для VPS</w:t>
      </w:r>
    </w:p>
    <w:p>
      <w:pPr>
        <w:pStyle w:val="Compact"/>
        <w:numPr>
          <w:ilvl w:val="0"/>
          <w:numId w:val="1022"/>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2"/>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2"/>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2"/>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2"/>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62"/>
    <w:bookmarkStart w:id="63"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2" Target="https://api-doc.potok.io/public-api/index.html" TargetMode="External" /><Relationship Type="http://schemas.openxmlformats.org/officeDocument/2006/relationships/hyperlink" Id="rId51" Target="https://api.huntflow.ru/v2/docs" TargetMode="External" /><Relationship Type="http://schemas.openxmlformats.org/officeDocument/2006/relationships/hyperlink" Id="rId54" Target="https://api.talantix.ru/docs/" TargetMode="External" /><Relationship Type="http://schemas.openxmlformats.org/officeDocument/2006/relationships/hyperlink" Id="rId55" Target="https://hh.ru/article/32514" TargetMode="External" /><Relationship Type="http://schemas.openxmlformats.org/officeDocument/2006/relationships/hyperlink" Id="rId53"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2" Target="https://api-doc.potok.io/public-api/index.html" TargetMode="External" /><Relationship Type="http://schemas.openxmlformats.org/officeDocument/2006/relationships/hyperlink" Id="rId51" Target="https://api.huntflow.ru/v2/docs" TargetMode="External" /><Relationship Type="http://schemas.openxmlformats.org/officeDocument/2006/relationships/hyperlink" Id="rId54" Target="https://api.talantix.ru/docs/" TargetMode="External" /><Relationship Type="http://schemas.openxmlformats.org/officeDocument/2006/relationships/hyperlink" Id="rId55" Target="https://hh.ru/article/32514" TargetMode="External" /><Relationship Type="http://schemas.openxmlformats.org/officeDocument/2006/relationships/hyperlink" Id="rId53"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