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Forecast SME Establishments by Industry, 2024 to 2029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Industry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 actual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2029 forecast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Change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Change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Outlook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Confidence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Administrative and Support Services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Decline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Manufacturing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Decline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Transport, Postal and Warehousing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Decline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Decline likely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Decline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Agriculture, Forestry and Fishing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Arts and Recreation Services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Construction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Electricity, Gas, Water and Waste Services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Services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Rental, Hiring and Real Estate Services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Retail Trade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Wholesale Trade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Health Care and Social Assistance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Growth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 Administration and Safety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Growth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Information Media and Telecommunications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Growth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Financial and Insurance Services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Growth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and 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Growth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Professional, Scientific and Technical Services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Growth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Accommodation and Food Services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Growth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Confidence: 'likely' means the whole 80% forecast range is on one side of the 2024 level.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2026-10-04T14:37:35Z</dcterms:created>
  <dcterms:modified xsi:type="dcterms:W3CDTF">2026-10-04T14:37:35Z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