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D23BC2">
      <w:pPr>
        <w:pStyle w:val="31"/>
        <w:rPr>
          <w:rFonts w:hint="eastAsia" w:ascii="微软雅黑" w:hAnsi="微软雅黑" w:eastAsia="微软雅黑" w:cs="微软雅黑"/>
          <w:b w:val="0"/>
          <w:bCs/>
        </w:rPr>
      </w:pPr>
      <w:r>
        <w:rPr>
          <w:rFonts w:hint="eastAsia" w:ascii="Noto Sans CJK SC" w:hAnsi="Noto Sans CJK SC" w:eastAsia="Noto Sans CJK SC" w:cs="Noto Sans CJK SC"/>
          <w:b w:val="0"/>
          <w:bCs/>
        </w:rPr>
        <w:t>设计文档</w:t>
      </w:r>
    </w:p>
    <w:p w14:paraId="794DBBC4">
      <w:pPr>
        <w:pStyle w:val="3"/>
        <w:rPr>
          <w:rFonts w:hint="eastAsia" w:ascii="微软雅黑" w:hAnsi="微软雅黑" w:eastAsia="微软雅黑" w:cs="微软雅黑"/>
          <w:b w:val="0"/>
          <w:bCs/>
        </w:rPr>
      </w:pPr>
      <w:r>
        <w:rPr>
          <w:rFonts w:hint="eastAsia" w:ascii="Noto Sans CJK SC" w:hAnsi="Noto Sans CJK SC" w:eastAsia="Noto Sans CJK SC" w:cs="Noto Sans CJK SC"/>
          <w:b w:val="0"/>
          <w:bCs/>
        </w:rPr>
        <w:t>核心设计</w:t>
      </w:r>
    </w:p>
    <w:p w14:paraId="1DF95186">
      <w:pPr>
        <w:spacing w:line="312" w:lineRule="auto" w:after="100"/>
        <w:rPr>
          <w:rFonts w:hint="default" w:ascii="微软雅黑" w:hAnsi="微软雅黑" w:eastAsia="微软雅黑" w:cs="微软雅黑"/>
          <w:b w:val="0"/>
          <w:bCs/>
          <w:lang w:val="en-US" w:eastAsia="zh-CN"/>
        </w:rPr>
      </w:pPr>
      <w:r>
        <w:rPr>
          <w:rFonts w:hint="eastAsia" w:ascii="Noto Sans CJK SC" w:hAnsi="Noto Sans CJK SC" w:eastAsia="Noto Sans CJK SC" w:cs="Noto Sans CJK SC"/>
          <w:b w:val="0"/>
          <w:bCs/>
          <w:sz w:val="22"/>
          <w:lang w:val="en-US" w:eastAsia="zh-CN"/>
        </w:rPr>
        <w:t>以标签化设计对卡牌效果进行第一次分类（如堆墓效果、特殊召唤效果等，一张卡牌可以有多种标签，允许联合标签，如送墓-特招，用来检索送墓与特招有关联的效果，但具体是送墓后触发还是以送墓为费用，以及送墓、特招的对象和区域，仍需回到对应效果文本确认），根据卡牌的字段作第二次分类，以是否废件、是否必要组件、是否泛用单卡、是否先/后攻对策牌等条件作第三次模糊分类。这三类作为可交叉检索的维度，不必逐层固定筛选。第三类中的角色根据卡组、手牌、当前局面和展开路线动态判断，同一张卡可以兼具多种角色。</w:t>
      </w:r>
    </w:p>
    <w:p>
      <w:pPr>
        <w:spacing w:line="312" w:lineRule="auto" w:after="100"/>
        <w:rPr>
          <w:rFonts w:hint="default" w:ascii="微软雅黑" w:hAnsi="微软雅黑" w:eastAsia="微软雅黑" w:cs="微软雅黑"/>
          <w:b w:val="0"/>
          <w:bCs/>
          <w:lang w:val="en-US" w:eastAsia="zh-CN"/>
        </w:rPr>
      </w:pPr>
      <w:r>
        <w:rPr>
          <w:rFonts w:hint="eastAsia" w:ascii="Noto Sans CJK SC" w:hAnsi="Noto Sans CJK SC" w:eastAsia="Noto Sans CJK SC" w:cs="Noto Sans CJK SC"/>
          <w:b w:val="0"/>
          <w:bCs/>
          <w:sz w:val="22"/>
          <w:lang w:val="en-US" w:eastAsia="zh-CN"/>
        </w:rPr>
        <w:t>模型按需求检索、匹配并组合出备选库，然后根据具体效果开始实际构筑卡组并推导基本CB。通过这种设计缓解冷启动问题，以及模型难以遍历并记忆所有卡牌效果而导致构筑、推理出现明显缺漏和“不现代”的问题。同时尽可能减少计算量、遍历和推理步数，让性能较弱的小模型可以作为本地模式内置在手机APP中，参与、辅助用户构筑卡组、练牌以及根据目标推算小众CB和构筑。同时，可以在手机或电脑客户端根据用户要求自训练，具体训练方式和规模根据设备能力确定。</w:t>
      </w:r>
    </w:p>
    <w:p w14:paraId="691DF6FD">
      <w:pPr>
        <w:spacing w:after="360" w:line="440" w:lineRule="exact"/>
        <w:rPr>
          <w:rFonts w:hint="eastAsia" w:ascii="微软雅黑" w:hAnsi="微软雅黑" w:eastAsia="微软雅黑" w:cs="微软雅黑"/>
          <w:b w:val="0"/>
          <w:bCs/>
        </w:rPr>
      </w:pPr>
    </w:p>
    <w:p w14:paraId="39E49731">
      <w:pPr>
        <w:pStyle w:val="3"/>
        <w:rPr>
          <w:rFonts w:hint="eastAsia" w:ascii="微软雅黑" w:hAnsi="微软雅黑" w:eastAsia="微软雅黑" w:cs="微软雅黑"/>
          <w:b w:val="0"/>
          <w:bCs/>
        </w:rPr>
      </w:pPr>
      <w:r>
        <w:rPr>
          <w:rFonts w:hint="eastAsia" w:ascii="Noto Sans CJK SC" w:hAnsi="Noto Sans CJK SC" w:eastAsia="Noto Sans CJK SC" w:cs="Noto Sans CJK SC"/>
          <w:b w:val="0"/>
          <w:bCs/>
        </w:rPr>
        <w:t>技术栈</w:t>
      </w:r>
    </w:p>
    <w:p w14:paraId="68C7AF71">
      <w:pPr>
        <w:spacing w:line="312" w:lineRule="auto" w:after="100"/>
        <w:rPr>
          <w:rFonts w:hint="eastAsia" w:ascii="微软雅黑" w:hAnsi="微软雅黑" w:eastAsia="微软雅黑" w:cs="微软雅黑"/>
          <w:b w:val="0"/>
          <w:bCs/>
          <w:lang w:val="en-US" w:eastAsia="zh-CN"/>
        </w:rPr>
      </w:pPr>
      <w:r>
        <w:rPr>
          <w:rFonts w:hint="eastAsia" w:ascii="Noto Sans CJK SC" w:hAnsi="Noto Sans CJK SC" w:eastAsia="Noto Sans CJK SC" w:cs="Noto Sans CJK SC"/>
          <w:b w:val="0"/>
          <w:bCs/>
          <w:sz w:val="22"/>
          <w:lang w:val="en-US" w:eastAsia="zh-CN"/>
        </w:rPr>
        <w:t>具体待定。大方向上可以先根据工作流搭建最小流程模型，在此基础上进一步引入AI、深度分析和深度推理技术，最后阶段则是完全引入并深化AI和深度推理技术，并将这一阶段完全构建为可以和其他AI模型协作的状态，可以理解为内置了一个小AI模型的AGENT，外部接入的AI可以通过内置的AI模型调用各种能力并协作。</w:t>
      </w:r>
    </w:p>
    <w:p>
      <w:pPr>
        <w:spacing w:line="312" w:lineRule="auto" w:after="100"/>
        <w:rPr>
          <w:rFonts w:hint="eastAsia" w:ascii="微软雅黑" w:hAnsi="微软雅黑" w:eastAsia="微软雅黑" w:cs="微软雅黑"/>
          <w:b w:val="0"/>
          <w:bCs/>
          <w:lang w:val="en-US" w:eastAsia="zh-CN"/>
        </w:rPr>
      </w:pPr>
      <w:r>
        <w:rPr>
          <w:rFonts w:hint="eastAsia" w:ascii="Noto Sans CJK SC" w:hAnsi="Noto Sans CJK SC" w:eastAsia="Noto Sans CJK SC" w:cs="Noto Sans CJK SC"/>
          <w:b w:val="0"/>
          <w:bCs/>
          <w:sz w:val="22"/>
          <w:lang w:val="en-US" w:eastAsia="zh-CN"/>
        </w:rPr>
        <w:t>考虑到需要根据用户喜好、需求进行自训练，将LoRA纳入备选，同时评估基于对局反馈的策略训练等方式，具体方案后续确定。本项目高概率不会配置自有云端服务，但仍可使用本地RAG增强检索能力，用于检索卡片效果、规则、裁定和已有CB等资料，并与标签筛选配合。卡表、禁限表和效果裁定等数据的更新依赖开发者主动推送、用户手动更新或外接的AI服务完成。</w:t>
      </w:r>
    </w:p>
    <w:p>
      <w:pPr>
        <w:spacing w:line="312" w:lineRule="auto" w:after="100"/>
        <w:rPr>
          <w:rFonts w:hint="eastAsia" w:ascii="微软雅黑" w:hAnsi="微软雅黑" w:eastAsia="微软雅黑" w:cs="微软雅黑"/>
          <w:b w:val="0"/>
          <w:bCs/>
          <w:lang w:val="en-US" w:eastAsia="zh-CN"/>
        </w:rPr>
      </w:pPr>
      <w:r>
        <w:rPr>
          <w:rFonts w:hint="eastAsia" w:ascii="Noto Sans CJK SC" w:hAnsi="Noto Sans CJK SC" w:eastAsia="Noto Sans CJK SC" w:cs="Noto Sans CJK SC"/>
          <w:b w:val="0"/>
          <w:bCs/>
          <w:sz w:val="22"/>
          <w:lang w:val="en-US" w:eastAsia="zh-CN"/>
        </w:rPr>
        <w:t>卡组导入、卡片索引等可以直接和现有同人项目接轨。本项目优先不内置完整打牌客户端，不自行重写全部卡片效果。对于效果推理、发动是否合规等，依据卡片文本、内置规则书和官方裁定；外接AI服务后，还可以由接入的AI主动查询相关信息进行交叉核查。需要验证展开、对墙练习或随机卡组对抗时，可选接入现有规则引擎或外部应用作为验证环境，文本推理和检索结果本身不直接视为验证通过。</w:t>
      </w:r>
    </w:p>
    <w:p w14:paraId="745CA461">
      <w:pPr>
        <w:spacing w:line="312" w:lineRule="auto" w:after="100"/>
        <w:rPr>
          <w:rFonts w:hint="default" w:ascii="微软雅黑" w:hAnsi="微软雅黑" w:eastAsia="微软雅黑" w:cs="微软雅黑"/>
          <w:b w:val="0"/>
          <w:bCs/>
          <w:lang w:val="en-US" w:eastAsia="zh-CN"/>
        </w:rPr>
      </w:pPr>
      <w:r>
        <w:rPr>
          <w:rFonts w:hint="eastAsia" w:ascii="Noto Sans CJK SC" w:hAnsi="Noto Sans CJK SC" w:eastAsia="Noto Sans CJK SC" w:cs="Noto Sans CJK SC"/>
          <w:b w:val="0"/>
          <w:bCs/>
          <w:sz w:val="22"/>
          <w:lang w:val="en-US" w:eastAsia="zh-CN"/>
        </w:rPr>
        <w:t>当然，应用体积允许的话，也可以选择集成YGO Mobile或YGOPro等现有应用，具体方式后续确定。</w:t>
      </w:r>
    </w:p>
    <w:p w14:paraId="1FF0CC42">
      <w:pPr>
        <w:spacing w:after="360" w:line="440" w:lineRule="exact"/>
        <w:rPr>
          <w:rFonts w:hint="eastAsia" w:ascii="微软雅黑" w:hAnsi="微软雅黑" w:eastAsia="微软雅黑" w:cs="微软雅黑"/>
          <w:b w:val="0"/>
          <w:bCs/>
        </w:rPr>
      </w:pPr>
    </w:p>
    <w:p w14:paraId="3F2DB0AD">
      <w:pPr>
        <w:pStyle w:val="3"/>
        <w:rPr>
          <w:rFonts w:hint="eastAsia" w:ascii="微软雅黑" w:hAnsi="微软雅黑" w:eastAsia="微软雅黑" w:cs="微软雅黑"/>
          <w:b w:val="0"/>
          <w:bCs/>
        </w:rPr>
      </w:pPr>
      <w:r>
        <w:rPr>
          <w:rFonts w:hint="eastAsia" w:ascii="Noto Sans CJK SC" w:hAnsi="Noto Sans CJK SC" w:eastAsia="Noto Sans CJK SC" w:cs="Noto Sans CJK SC"/>
          <w:b w:val="0"/>
          <w:bCs/>
        </w:rPr>
        <w:t>工作流</w:t>
      </w:r>
    </w:p>
    <w:p w14:paraId="3A5334E5">
      <w:pPr>
        <w:spacing w:line="312" w:lineRule="auto" w:after="100"/>
        <w:rPr>
          <w:rFonts w:hint="default" w:ascii="微软雅黑" w:hAnsi="微软雅黑" w:eastAsia="微软雅黑" w:cs="微软雅黑"/>
          <w:b w:val="0"/>
          <w:bCs/>
          <w:lang w:val="en-US" w:eastAsia="zh-CN"/>
        </w:rPr>
      </w:pPr>
      <w:bookmarkStart w:id="0" w:name="_GoBack"/>
      <w:bookmarkEnd w:id="0"/>
      <w:r>
        <w:rPr>
          <w:rFonts w:hint="eastAsia" w:ascii="Noto Sans CJK SC" w:hAnsi="Noto Sans CJK SC" w:eastAsia="Noto Sans CJK SC" w:cs="Noto Sans CJK SC"/>
          <w:b w:val="0"/>
          <w:bCs/>
          <w:sz w:val="22"/>
          <w:lang w:val="en-US" w:eastAsia="zh-CN"/>
        </w:rPr>
        <w:t>最简工作流如下：先分别确定卡池截止日期、适用地区和禁限表，默认采用对应地区最新已发售卡池与最新禁限表，也可以选择N/A无禁限卡表。卡池日期与禁限表独立设置，例如复现2025年10月的环境时，应按选定的具体日期排除之后发售的卡片，而不能只根据禁限表名称推断卡池。</w:t>
      </w:r>
    </w:p>
    <w:p>
      <w:pPr>
        <w:spacing w:line="312" w:lineRule="auto" w:after="100"/>
        <w:rPr>
          <w:rFonts w:hint="default" w:ascii="微软雅黑" w:hAnsi="微软雅黑" w:eastAsia="微软雅黑" w:cs="微软雅黑"/>
          <w:b w:val="0"/>
          <w:bCs/>
          <w:lang w:val="en-US" w:eastAsia="zh-CN"/>
        </w:rPr>
      </w:pPr>
      <w:r>
        <w:rPr>
          <w:rFonts w:hint="eastAsia" w:ascii="Noto Sans CJK SC" w:hAnsi="Noto Sans CJK SC" w:eastAsia="Noto Sans CJK SC" w:cs="Noto Sans CJK SC"/>
          <w:b w:val="0"/>
          <w:bCs/>
          <w:sz w:val="22"/>
          <w:lang w:val="en-US" w:eastAsia="zh-CN"/>
        </w:rPr>
        <w:t>根据用户指定的主题、CB或目标终场，结合效果标签、字段和条件角色交叉检索，形成备选库；随后回到具体卡效，搭建主轴及其必要额外卡组，先推导至少一条可执行的基本展开链，再评估终场、启动条件和组件需求。按这条路线重新判断废件、半废件和必要组件，再精简构筑，避免在展开链成立前误删必要卡片。</w:t>
      </w:r>
    </w:p>
    <w:p>
      <w:pPr>
        <w:spacing w:line="312" w:lineRule="auto" w:after="100"/>
        <w:rPr>
          <w:rFonts w:hint="default" w:ascii="微软雅黑" w:hAnsi="微软雅黑" w:eastAsia="微软雅黑" w:cs="微软雅黑"/>
          <w:b w:val="0"/>
          <w:bCs/>
          <w:lang w:val="en-US" w:eastAsia="zh-CN"/>
        </w:rPr>
      </w:pPr>
      <w:r>
        <w:rPr>
          <w:rFonts w:hint="eastAsia" w:ascii="Noto Sans CJK SC" w:hAnsi="Noto Sans CJK SC" w:eastAsia="Noto Sans CJK SC" w:cs="Noto Sans CJK SC"/>
          <w:b w:val="0"/>
          <w:bCs/>
          <w:sz w:val="22"/>
          <w:lang w:val="en-US" w:eastAsia="zh-CN"/>
        </w:rPr>
        <w:t>比较实际终场与目标的差异，判断缺的是哪类效果、资源或连接组件，据此调整标签检索并补充备选库，重新组合、推导和验证。结合启动稳定性、废件率、抗阻抗能力和资源续航，在给定时间或计算预算内寻找较优方案。达到用户要求、连续若干轮无有效改进或预算用尽时结束本轮循环；未达到的目标保留说明。</w:t>
      </w:r>
    </w:p>
    <w:p>
      <w:pPr>
        <w:spacing w:line="312" w:lineRule="auto" w:after="100"/>
        <w:rPr>
          <w:rFonts w:hint="default" w:ascii="微软雅黑" w:hAnsi="微软雅黑" w:eastAsia="微软雅黑" w:cs="微软雅黑"/>
          <w:b w:val="0"/>
          <w:bCs/>
          <w:lang w:val="en-US" w:eastAsia="zh-CN"/>
        </w:rPr>
      </w:pPr>
      <w:r>
        <w:rPr>
          <w:rFonts w:hint="eastAsia" w:ascii="Noto Sans CJK SC" w:hAnsi="Noto Sans CJK SC" w:eastAsia="Noto Sans CJK SC" w:cs="Noto Sans CJK SC"/>
          <w:b w:val="0"/>
          <w:bCs/>
          <w:sz w:val="22"/>
          <w:lang w:val="en-US" w:eastAsia="zh-CN"/>
        </w:rPr>
        <w:t>主轴初步稳定后，根据主卡组剩余卡位和第三类角色筛选泛用单卡、小轴，再按具体卡效判断是否投入；随后补充EX卡组剩余卡位的泛用卡；加入后回检启动条件、自肃、资源冲突和展开链，必要时调整主轴。副卡组按预期对局和先后攻需求构筑，并给出相应换入、换出方案，检查换备后主轴仍可运作。</w:t>
      </w:r>
    </w:p>
    <w:p>
      <w:pPr>
        <w:spacing w:line="312" w:lineRule="auto" w:after="100"/>
        <w:rPr>
          <w:rFonts w:hint="default" w:ascii="微软雅黑" w:hAnsi="微软雅黑" w:eastAsia="微软雅黑" w:cs="微软雅黑"/>
          <w:b w:val="0"/>
          <w:bCs/>
          <w:lang w:val="en-US" w:eastAsia="zh-CN"/>
        </w:rPr>
      </w:pPr>
      <w:r>
        <w:rPr>
          <w:rFonts w:hint="eastAsia" w:ascii="Noto Sans CJK SC" w:hAnsi="Noto Sans CJK SC" w:eastAsia="Noto Sans CJK SC" w:cs="Noto Sans CJK SC"/>
          <w:b w:val="0"/>
          <w:bCs/>
          <w:sz w:val="22"/>
          <w:lang w:val="en-US" w:eastAsia="zh-CN"/>
        </w:rPr>
        <w:t>完整卡组构筑完毕后，通过选定的验证环境进行展开验证，并按阶段能力加入对墙练习和随机卡组对抗测试。验证通过后交付卡组、基本展开链和卡组核心要点；未经过验证的部分单独标明。后两项的详细展示视为额外功能，仅在电脑端或接入外部AI时给出，但基础展开验证仍属于构筑流程。</w:t>
      </w:r>
    </w:p>
    <w:p w14:paraId="325DE21C">
      <w:pPr>
        <w:spacing w:after="360" w:line="440" w:lineRule="exact"/>
        <w:rPr>
          <w:rFonts w:hint="eastAsia" w:ascii="微软雅黑" w:hAnsi="微软雅黑" w:eastAsia="微软雅黑" w:cs="微软雅黑"/>
          <w:b w:val="0"/>
          <w:bCs/>
        </w:rPr>
      </w:pPr>
    </w:p>
    <w:p w14:paraId="7C13CB0C">
      <w:pPr>
        <w:pStyle w:val="3"/>
        <w:rPr>
          <w:rFonts w:hint="eastAsia" w:ascii="微软雅黑" w:hAnsi="微软雅黑" w:eastAsia="微软雅黑" w:cs="微软雅黑"/>
          <w:b w:val="0"/>
          <w:bCs/>
        </w:rPr>
      </w:pPr>
      <w:r>
        <w:rPr>
          <w:rFonts w:hint="eastAsia" w:ascii="Noto Sans CJK SC" w:hAnsi="Noto Sans CJK SC" w:eastAsia="Noto Sans CJK SC" w:cs="Noto Sans CJK SC"/>
          <w:b w:val="0"/>
          <w:bCs/>
        </w:rPr>
        <w:t>期望成效</w:t>
      </w:r>
    </w:p>
    <w:p w14:paraId="47F9BCE5">
      <w:pPr>
        <w:spacing w:line="312" w:lineRule="auto" w:after="100"/>
        <w:rPr>
          <w:rFonts w:hint="eastAsia" w:ascii="微软雅黑" w:hAnsi="微软雅黑" w:eastAsia="微软雅黑" w:cs="微软雅黑"/>
          <w:b w:val="0"/>
          <w:bCs/>
          <w:lang w:val="en-US" w:eastAsia="zh-CN"/>
        </w:rPr>
      </w:pPr>
      <w:r>
        <w:rPr>
          <w:rFonts w:hint="eastAsia" w:ascii="Noto Sans CJK SC" w:hAnsi="Noto Sans CJK SC" w:eastAsia="Noto Sans CJK SC" w:cs="Noto Sans CJK SC"/>
          <w:b w:val="0"/>
          <w:bCs/>
          <w:sz w:val="22"/>
          <w:lang w:val="en-US" w:eastAsia="zh-CN"/>
        </w:rPr>
        <w:t>最小基本框架可以做到按照用户要求完成卡组构建和基本CB推理，最小通过要求为卡组主轴无错误，在选定的卡池和禁限表内投入合适的泛用卡片，并根据卡组构成推理出至少一条正确的1卡动、伪一卡动、二卡动（1固定卡+1任意符合条件的卡）或特定二卡动。各种起手条件需明确；若指定主题或约束下无法得到这些路线，应说明实际所需条件，不强行给出。</w:t>
      </w:r>
    </w:p>
    <w:p>
      <w:pPr>
        <w:spacing w:line="312" w:lineRule="auto" w:after="100"/>
        <w:rPr>
          <w:rFonts w:hint="eastAsia" w:ascii="微软雅黑" w:hAnsi="微软雅黑" w:eastAsia="微软雅黑" w:cs="微软雅黑"/>
          <w:b w:val="0"/>
          <w:bCs/>
          <w:lang w:val="en-US" w:eastAsia="zh-CN"/>
        </w:rPr>
      </w:pPr>
      <w:r>
        <w:rPr>
          <w:rFonts w:hint="eastAsia" w:ascii="Noto Sans CJK SC" w:hAnsi="Noto Sans CJK SC" w:eastAsia="Noto Sans CJK SC" w:cs="Noto Sans CJK SC"/>
          <w:b w:val="0"/>
          <w:bCs/>
          <w:sz w:val="22"/>
          <w:lang w:val="en-US" w:eastAsia="zh-CN"/>
        </w:rPr>
        <w:t>第二阶段则在此基础上能初步构筑具有协同收益的混二轴卡组（如地天使珠泪、刻魔蛇眼），并在选定的卡池和禁限表内投入合适的泛用卡片，同时初步具有自训练能力。最终阶段则应该在无外部AI接入时，在第二阶段的基础上，可以正确构筑更复杂的混轴卡组（如混三轴的狱神奥义耀圣、混四轴及以上的多种龙族链接、混四轴的六花蕾祸芳香）。协同收益通过与相同条件下的纯轴或已有方案比较来检验。</w:t>
      </w:r>
    </w:p>
    <w:p>
      <w:pPr>
        <w:spacing w:line="312" w:lineRule="auto" w:after="100"/>
        <w:rPr>
          <w:rFonts w:hint="eastAsia" w:ascii="微软雅黑" w:hAnsi="微软雅黑" w:eastAsia="微软雅黑" w:cs="微软雅黑"/>
          <w:b w:val="0"/>
          <w:bCs/>
          <w:lang w:val="en-US" w:eastAsia="zh-CN"/>
        </w:rPr>
      </w:pPr>
      <w:r>
        <w:rPr>
          <w:rFonts w:hint="eastAsia" w:ascii="Noto Sans CJK SC" w:hAnsi="Noto Sans CJK SC" w:eastAsia="Noto Sans CJK SC" w:cs="Noto Sans CJK SC"/>
          <w:b w:val="0"/>
          <w:bCs/>
          <w:sz w:val="22"/>
          <w:lang w:val="en-US" w:eastAsia="zh-CN"/>
        </w:rPr>
        <w:t>在给定推理时间的情况下，尽可能推理出常见的单卡/多卡展开CB，以及不同手牌情形如何应对各类常见阻抗（按阻抗类型检索，再按实际效果、时点和对象判断），吃到阻抗后如何妥协，被解场后如何返场，以及长盘作战中如何与对手拉扯并回收资源。需要注意的是，构筑混轴卡组只是为了检验构筑能力，而不是必须构筑为混轴卡组，有大量卡组纯轴远比混轴厉害，有些卡组则完全无法混轴。</w:t>
      </w:r>
    </w:p>
    <w:p w14:paraId="163E0B57">
      <w:pPr>
        <w:spacing w:line="312" w:lineRule="auto" w:after="100"/>
        <w:rPr>
          <w:rFonts w:hint="eastAsia" w:ascii="微软雅黑" w:hAnsi="微软雅黑" w:eastAsia="微软雅黑" w:cs="微软雅黑"/>
          <w:b w:val="0"/>
          <w:bCs/>
          <w:lang w:val="en-US" w:eastAsia="zh-CN"/>
        </w:rPr>
      </w:pPr>
      <w:r>
        <w:rPr>
          <w:rFonts w:hint="eastAsia" w:ascii="Noto Sans CJK SC" w:hAnsi="Noto Sans CJK SC" w:eastAsia="Noto Sans CJK SC" w:cs="Noto Sans CJK SC"/>
          <w:b w:val="0"/>
          <w:bCs/>
          <w:sz w:val="22"/>
          <w:lang w:val="en-US" w:eastAsia="zh-CN"/>
        </w:rPr>
        <w:t>实现上述目标后，期望模型能够通过应用提供的“对墙打”和“随机卡组对战”入口，调用已集成或外接的验证环境，实现构筑自检和自训练。随机对手应覆盖可正常运作的不同主题与强度，避免只用无配合的随机卡堆评估能力。</w:t>
      </w:r>
    </w:p>
    <w:p w14:paraId="0A197CDC">
      <w:pPr>
        <w:spacing w:line="312" w:lineRule="auto" w:after="100"/>
        <w:rPr>
          <w:rFonts w:hint="default" w:ascii="微软雅黑" w:hAnsi="微软雅黑" w:eastAsia="微软雅黑" w:cs="微软雅黑"/>
          <w:b w:val="0"/>
          <w:bCs/>
          <w:lang w:val="en-US" w:eastAsia="zh-CN"/>
        </w:rPr>
      </w:pPr>
      <w:r>
        <w:rPr>
          <w:rFonts w:hint="eastAsia" w:ascii="Noto Sans CJK SC" w:hAnsi="Noto Sans CJK SC" w:eastAsia="Noto Sans CJK SC" w:cs="Noto Sans CJK SC"/>
          <w:b w:val="0"/>
          <w:bCs/>
          <w:sz w:val="22"/>
          <w:lang w:val="en-US" w:eastAsia="zh-CN"/>
        </w:rPr>
        <w:t>更进一步的，开发者版本可以直接由模型完成对局，以便更好地检验实际能力，并将对局结果保存下来，交由模型自行复盘并进行自训练。</w:t>
      </w:r>
    </w:p>
    <w:p w14:paraId="7B93C44A">
      <w:pPr>
        <w:spacing w:after="360" w:line="440" w:lineRule="exact"/>
        <w:rPr>
          <w:rFonts w:hint="eastAsia" w:ascii="微软雅黑" w:hAnsi="微软雅黑" w:eastAsia="微软雅黑" w:cs="微软雅黑"/>
          <w:b w:val="0"/>
          <w:bCs/>
        </w:rPr>
      </w:pPr>
    </w:p>
    <w:p w14:paraId="39398DFA">
      <w:pPr>
        <w:pStyle w:val="3"/>
        <w:rPr>
          <w:rFonts w:hint="eastAsia" w:ascii="微软雅黑" w:hAnsi="微软雅黑" w:eastAsia="微软雅黑" w:cs="微软雅黑"/>
          <w:b w:val="0"/>
          <w:bCs/>
        </w:rPr>
      </w:pPr>
      <w:r>
        <w:rPr>
          <w:rFonts w:hint="eastAsia" w:ascii="Noto Sans CJK SC" w:hAnsi="Noto Sans CJK SC" w:eastAsia="Noto Sans CJK SC" w:cs="Noto Sans CJK SC"/>
          <w:b w:val="0"/>
          <w:bCs/>
        </w:rPr>
        <w:t>目标平台</w:t>
      </w:r>
    </w:p>
    <w:p w14:paraId="3A4B70D7">
      <w:pPr>
        <w:spacing w:line="312" w:lineRule="auto" w:after="100"/>
        <w:rPr>
          <w:rFonts w:hint="default" w:ascii="微软雅黑" w:hAnsi="微软雅黑" w:eastAsia="微软雅黑" w:cs="微软雅黑"/>
          <w:b w:val="0"/>
          <w:bCs/>
          <w:lang w:val="en-US" w:eastAsia="zh-CN"/>
        </w:rPr>
      </w:pPr>
      <w:r>
        <w:rPr>
          <w:rFonts w:hint="eastAsia" w:ascii="Noto Sans CJK SC" w:hAnsi="Noto Sans CJK SC" w:eastAsia="Noto Sans CJK SC" w:cs="Noto Sans CJK SC"/>
          <w:b w:val="0"/>
          <w:bCs/>
          <w:sz w:val="22"/>
          <w:lang w:val="en-US" w:eastAsia="zh-CN"/>
        </w:rPr>
        <w:t>手机APP和电脑客户端。第二阶段时仍需要优先考虑以该阶段交付物作为手机APP落地基础，即不能占用过多储存空间，也不能占用太多性能，完成整个项目后，提炼第二阶段和最终的内外AI协作能力，打包为手机APP落地。在技术允许的情况下，pc端应以完整技术的AGENT应用落地。</w:t>
      </w:r>
    </w:p>
    <w:p w14:paraId="509AC442">
      <w:pPr>
        <w:spacing w:after="360" w:line="440" w:lineRule="exact"/>
        <w:rPr>
          <w:rFonts w:hint="eastAsia" w:ascii="微软雅黑" w:hAnsi="微软雅黑" w:eastAsia="微软雅黑" w:cs="微软雅黑"/>
          <w:b w:val="0"/>
          <w:bCs/>
        </w:rPr>
      </w:pPr>
    </w:p>
    <w:p w14:paraId="60865D54">
      <w:pPr>
        <w:pStyle w:val="3"/>
        <w:rPr>
          <w:rFonts w:hint="eastAsia" w:ascii="微软雅黑" w:hAnsi="微软雅黑" w:eastAsia="微软雅黑" w:cs="微软雅黑"/>
          <w:b w:val="0"/>
          <w:bCs/>
        </w:rPr>
      </w:pPr>
      <w:r>
        <w:rPr>
          <w:rFonts w:hint="eastAsia" w:ascii="Noto Sans CJK SC" w:hAnsi="Noto Sans CJK SC" w:eastAsia="Noto Sans CJK SC" w:cs="Noto Sans CJK SC"/>
          <w:b w:val="0"/>
          <w:bCs/>
        </w:rPr>
        <w:t>额外对接应用</w:t>
      </w:r>
    </w:p>
    <w:p w14:paraId="1DDA6FF4">
      <w:pPr>
        <w:spacing w:line="312" w:lineRule="auto" w:after="100"/>
        <w:rPr>
          <w:rFonts w:hint="eastAsia" w:ascii="微软雅黑" w:hAnsi="微软雅黑" w:eastAsia="微软雅黑" w:cs="微软雅黑"/>
          <w:b w:val="0"/>
          <w:bCs/>
          <w:lang w:val="en-US" w:eastAsia="zh-CN"/>
        </w:rPr>
      </w:pPr>
      <w:r>
        <w:rPr>
          <w:rFonts w:hint="eastAsia" w:ascii="Noto Sans CJK SC" w:hAnsi="Noto Sans CJK SC" w:eastAsia="Noto Sans CJK SC" w:cs="Noto Sans CJK SC"/>
          <w:b w:val="0"/>
          <w:bCs/>
          <w:sz w:val="22"/>
          <w:lang w:val="en-US" w:eastAsia="zh-CN"/>
        </w:rPr>
        <w:t>可以对接同人作品YGO Mobile或YGOPro等应用，尽可能避免直接读取应用数据，通过外部信息如图片等获取对局信息，然后由训练的AI直接进行对局（该功能仅对开发者开放）。识别不清的信息保留为未知，不将推测的对手手牌或盖卡当作已知事实。</w:t>
      </w:r>
    </w:p>
    <w:p w14:paraId="5BDFFF55">
      <w:pPr>
        <w:spacing w:line="312" w:lineRule="auto" w:after="100"/>
        <w:rPr>
          <w:rFonts w:hint="default" w:ascii="微软雅黑" w:hAnsi="微软雅黑" w:eastAsia="微软雅黑" w:cs="微软雅黑"/>
          <w:b w:val="0"/>
          <w:bCs/>
          <w:lang w:val="en-US" w:eastAsia="zh-CN"/>
        </w:rPr>
      </w:pPr>
      <w:r>
        <w:rPr>
          <w:rFonts w:hint="eastAsia" w:ascii="Noto Sans CJK SC" w:hAnsi="Noto Sans CJK SC" w:eastAsia="Noto Sans CJK SC" w:cs="Noto Sans CJK SC"/>
          <w:b w:val="0"/>
          <w:bCs/>
          <w:sz w:val="22"/>
          <w:lang w:val="en-US" w:eastAsia="zh-CN"/>
        </w:rPr>
        <w:t>同样的，在只通过外部信息获取的情况下，由AI直接进行官方游戏如大师决斗的对局（该功能仅对开发者开放）</w:t>
      </w:r>
    </w:p>
    <w:sectPr>
      <w:pgSz w:w="11906" w:h="16838"/>
      <w:pgMar w:top="1247" w:right="1361" w:bottom="1247" w:left="136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微软雅黑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27952CC"/>
    <w:rsid w:val="14164D9C"/>
    <w:rsid w:val="22714212"/>
    <w:rsid w:val="36F34D9D"/>
    <w:rsid w:val="37A8202C"/>
    <w:rsid w:val="39AB195F"/>
    <w:rsid w:val="3BEA72AB"/>
    <w:rsid w:val="43C549A1"/>
    <w:rsid w:val="43E048FB"/>
    <w:rsid w:val="4C75192E"/>
    <w:rsid w:val="53966D85"/>
    <w:rsid w:val="62B62DF4"/>
    <w:rsid w:val="63442359"/>
    <w:rsid w:val="78160310"/>
    <w:rsid w:val="7F9048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0" w:line="276" w:lineRule="auto"/>
    </w:pPr>
    <w:rPr>
      <w:rFonts w:ascii="Noto Sans CJK SC" w:hAnsi="Noto Sans CJK SC" w:eastAsia="Noto Sans CJK SC" w:cstheme="minorBidi"/>
      <w:color w:val="000000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0" w:after="160"/>
      <w:outlineLvl w:val="0"/>
    </w:pPr>
    <w:rPr>
      <w:rFonts w:asciiTheme="majorHAnsi" w:hAnsiTheme="majorHAnsi" w:eastAsiaTheme="majorEastAsia" w:cstheme="majorBidi"/>
      <w:b/>
      <w:bCs/>
      <w:color w:val="000000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spacing w:before="0" w:after="460" w:line="240" w:lineRule="auto"/>
      <w:contextualSpacing/>
    </w:pPr>
    <w:rPr>
      <w:rFonts w:asciiTheme="majorHAnsi" w:hAnsiTheme="majorHAnsi" w:eastAsiaTheme="majorEastAsia" w:cstheme="majorBidi"/>
      <w:b/>
      <w:color w:val="000000"/>
      <w:spacing w:val="5"/>
      <w:kern w:val="28"/>
      <w:sz w:val="50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34</Words>
  <Characters>34</Characters>
  <Lines>0</Lines>
  <Paragraphs>0</Paragraphs>
  <TotalTime>118</TotalTime>
  <ScaleCrop>false</ScaleCrop>
  <LinksUpToDate>false</LinksUpToDate>
  <CharactersWithSpaces>34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清</dc:creator>
  <dc:description>generated by python-docx</dc:description>
  <cp:lastModifiedBy>清</cp:lastModifiedBy>
  <dcterms:modified xsi:type="dcterms:W3CDTF">2026-10-18T16:28:49Z</dcterms:modified>
  <dc:title>设计文档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eyJoZGlkIjoiMDUwNGUyM2E1MTEzYTk1NTdlM2VkZTRmMmMyM2ExODYiLCJ1c2VySWQiOiIxMjU0NzkxMzY0In0=</vt:lpwstr>
  </property>
  <property fmtid="{D5CDD505-2E9C-101B-9397-08002B2CF9AE}" pid="3" name="KSOProductBuildVer">
    <vt:lpwstr>2052-12.1.0.29161</vt:lpwstr>
  </property>
  <property fmtid="{D5CDD505-2E9C-101B-9397-08002B2CF9AE}" pid="4" name="ICV">
    <vt:lpwstr>6212B80159374CFAA4AB200E686ECA45_12</vt:lpwstr>
  </property>
</Properties>
</file>