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项目设计定稿</w:t>
      </w:r>
    </w:p>
    <w:p>
      <w:pPr>
        <w:pStyle w:val="Heading2"/>
      </w:pPr>
      <w:r>
        <w:t>标签驱动的游戏王构筑与对局 AI</w:t>
      </w:r>
    </w:p>
    <w:p>
      <w:r>
        <w:t>版本 1.0｜2026 年 10 月 19 日（UTC+8）</w:t>
        <w:br/>
        <w:t>定位：个人学习与作品项目。本文固定已确认的产品方向与工作边界；具体模型、客户端框架和版本组合仍须通过原型验收后确定。</w:t>
      </w:r>
    </w:p>
    <w:p>
      <w:pPr>
        <w:pStyle w:val="Heading2"/>
      </w:pPr>
      <w:r>
        <w:t>一 项目目标</w:t>
      </w:r>
    </w:p>
    <w:p>
      <w:r>
        <w:t>围绕用户指定的卡组主题、CB（展开组合）或目标终场，先利用标签寻找候选卡，再依据真实卡片效果推导配合，最后用规则引擎验证。系统支持构筑、展开推理、对墙练习、随机卡组对抗、局内快速决策和复盘，并通过训练逐步提高能力。</w:t>
      </w:r>
    </w:p>
    <w:p>
      <w:pPr>
        <w:pStyle w:val="Heading2"/>
      </w:pPr>
      <w:r>
        <w:t>已确认的实施顺序</w:t>
      </w:r>
    </w:p>
    <w:p>
      <w:r>
        <w:t>先逐阶段完成可验证的完整核心，再落实 Android 与电脑应用。Android 是首要移动目标，暂不安排 iOS 验收。核心开发仍可在电脑进行，以便调试、训练和保存复现材料。单轴、二轴、复杂混轴是能力拓展阶段；每个阶段均允许选择纯轴或较简单的更优构筑，不以堆叠轴数作为成功标准。</w:t>
      </w:r>
    </w:p>
    <w:p>
      <w:pPr>
        <w:pStyle w:val="Heading2"/>
      </w:pPr>
      <w:r>
        <w:t>资源与产品边界</w:t>
      </w:r>
    </w:p>
    <w:p>
      <w:r>
        <w:t>现有计算资源为笔记本 RTX 4060、8 GB 显存、32 GB 内存。训练方案应先小规模实测，不承诺此配置能完成任意规模的训练。曾提出 Android 300–500 MB、电脑发行版约 1 GB、开发版约 10–20 GB 的体积愿景；目前按用户要求后置压缩，不能作为前期核心开发的阻断条件。</w:t>
      </w:r>
    </w:p>
    <w:p>
      <w:pPr>
        <w:pStyle w:val="Heading2"/>
      </w:pPr>
      <w:r>
        <w:t>本次定稿的含义</w:t>
      </w:r>
    </w:p>
    <w:p>
      <w:r>
        <w:t>产品需求按本文执行；技术候选不等于已完成选型。本文未宣布项目已实现、已训练或已达到性能目标。当前交付为设计与学习安排，不启动安装、编写完整实现或训练。</w:t>
      </w:r>
    </w:p>
    <w:p>
      <w:r>
        <w:br w:type="page"/>
      </w:r>
    </w:p>
    <w:p>
      <w:pPr>
        <w:pStyle w:val="Heading1"/>
      </w:pPr>
      <w:r>
        <w:t>二 数据与三语理解</w:t>
      </w:r>
    </w:p>
    <w:p>
      <w:pPr>
        <w:pStyle w:val="Heading2"/>
      </w:pPr>
      <w:r>
        <w:t>统一身份与可追溯数据</w:t>
      </w:r>
    </w:p>
    <w:p>
      <w:r>
        <w:t>以稳定卡片 ID 为身份主键，名称、译名、别名和语言作为关联字段。保存卡片种类、属性、种族、等级／阶级／连接值、数值、原始效果及来源。不同名称应先通过身份映射对齐，再使用语义检索；不能仅凭向量相似度把不同卡视为同一卡。</w:t>
      </w:r>
    </w:p>
    <w:p>
      <w:pPr>
        <w:pStyle w:val="Heading2"/>
      </w:pPr>
      <w:r>
        <w:t>三语编码器的职责</w:t>
      </w:r>
    </w:p>
    <w:p>
      <w:r>
        <w:t>至少能够检索并理解中文效果文本、日文裁定，以及中文、日文、英文卡名。三语需求不意味着每个数据源都提供三语完整效果。需要评测名称消歧、跨语言对应、费用与效果处理区分、否定与次数限制等能力。检索编码器本身不负责最终裁定，也不能凭召回结果保证合法展开。</w:t>
      </w:r>
    </w:p>
    <w:p>
      <w:pPr>
        <w:pStyle w:val="Heading2"/>
      </w:pPr>
      <w:r>
        <w:t>百鸽与补充资料</w:t>
      </w:r>
    </w:p>
    <w:p>
      <w:r>
        <w:t>百鸽可作为中文卡片文本与多语卡名的数据来源。本轮检查的完整数据包含 14,342 条记录，text 字段为 types、pdesc、desc 等中文内容；部分多语名称缺失，不能承诺三语齐全。日文 FAQ／裁定应作为独立资料整理，保存原文链接、卡片关联、适用条件与更新时间。条数属于本轮观察，不写成固定总量。</w:t>
      </w:r>
    </w:p>
    <w:p>
      <w:pPr>
        <w:pStyle w:val="Heading2"/>
      </w:pPr>
      <w:r>
        <w:t>版本与更新</w:t>
      </w:r>
    </w:p>
    <w:p>
      <w:r>
        <w:t>每次实验固定卡片数据库、效果脚本、规则核心、禁限卡表、标签、编码器、模型权重和观测格式的版本。新卡可先通过数据与标签更新进入检索，再评估是否需要重训。用户修订、自动生成标签与来源原文分别记录，冲突时回查原文和规则环境。</w:t>
      </w:r>
    </w:p>
    <w:p>
      <w:pPr>
        <w:pStyle w:val="Heading2"/>
      </w:pPr>
      <w:r>
        <w:t>禁表选择</w:t>
      </w:r>
    </w:p>
    <w:p>
      <w:r>
        <w:t>界面以“某年某月表”选择 OCG 禁限卡表，例如 25.10 表。默认采用适用的最新已生效表；官方生效日期作为后台元数据保存。卡池默认采用最新已发售范围，也支持历史或自定义卡池，不强求用户选择具体日期。卡池范围与禁表月份分别记录，避免把历史禁表误当作历史卡池。另保留 N/A 无禁限测试选项，与自定义配置一样显著标记。</w:t>
      </w:r>
    </w:p>
    <w:p>
      <w:r>
        <w:br w:type="page"/>
      </w:r>
    </w:p>
    <w:p>
      <w:pPr>
        <w:pStyle w:val="Heading1"/>
      </w:pPr>
      <w:r>
        <w:t>三 标签体系与候选检索</w:t>
      </w:r>
    </w:p>
    <w:p>
      <w:pPr>
        <w:pStyle w:val="Heading2"/>
      </w:pPr>
      <w:r>
        <w:t>三个交叉维度</w:t>
      </w:r>
    </w:p>
    <w:p>
      <w:r>
        <w:t>效果标签：送墓、特殊召唤、检索、回收、除外、无效、资源补充等，可多标签并存。主题标签：所属系列、关联轴及可共享资源。作用标签：废件、半废件、必要组件、启动点、补点、泛用卡、先后手对策等，依据当前构筑与局面判断。三个维度交叉使用，不做必须逐层通过的硬筛选链。</w:t>
      </w:r>
    </w:p>
    <w:p>
      <w:pPr>
        <w:pStyle w:val="Heading2"/>
      </w:pPr>
      <w:r>
        <w:t>废件是情境判断</w:t>
      </w:r>
    </w:p>
    <w:p>
      <w:r>
        <w:t>同一张卡可能在某构筑中是必要废件，在另一手牌或路线中可直接使用。记录角色判断的条件、代价与证据，例如“需被卡组特殊召唤”“上手后缺乏出口”“可作为费用”。“半废件”需附具体可用条件，避免作为永久卡片属性。泛用卡须区分主卡组与额外卡组；用户所说额外的泛用卡，特指 EX 泛用卡。</w:t>
      </w:r>
    </w:p>
    <w:p>
      <w:pPr>
        <w:pStyle w:val="Heading2"/>
      </w:pPr>
      <w:r>
        <w:t>标签不能替代卡效</w:t>
      </w:r>
    </w:p>
    <w:p>
      <w:r>
        <w:t>“送墓—特招”只能提示配合方向。系统仍需核对发动条件、费用、对象、处理、所在区域、送墓方式、时点、次数限制和自肃。被效果送墓与作为费用送墓、从手牌与从卡组送墓等必须区分。候选配对后应生成带条件的配合假设，再交给原文核对和引擎验证。</w:t>
      </w:r>
    </w:p>
    <w:p>
      <w:pPr>
        <w:pStyle w:val="Heading2"/>
      </w:pPr>
      <w:r>
        <w:t>检索方案</w:t>
      </w:r>
    </w:p>
    <w:p>
      <w:r>
        <w:t>基础采用卡片 ID／别名精确检索、结构化字段过滤及全文检索。RAG 作为技术栈备选：在需要跨语语义召回或裁定解释时检索相关文本，并保留出处。它增强依据获取，不取代动作合法性判断。原文召回、候选排序与效果验证的结果分别保存，便于定位错误。</w:t>
      </w:r>
    </w:p>
    <w:p>
      <w:pPr>
        <w:pStyle w:val="Heading2"/>
      </w:pPr>
      <w:r>
        <w:t>反馈闭环</w:t>
      </w:r>
    </w:p>
    <w:p>
      <w:r>
        <w:t>路线缺少资源、桥接卡、特定召唤方式或中断后恢复手段时，把缺口转为检索条件，扩展候选并重新验证。失败记录保留失败原因，不靠删除失败样本制造高成功率。人工修正标签后，能重新运行同一测试比较变化。</w:t>
      </w:r>
    </w:p>
    <w:p>
      <w:r>
        <w:br w:type="page"/>
      </w:r>
    </w:p>
    <w:p>
      <w:pPr>
        <w:pStyle w:val="Heading1"/>
      </w:pPr>
      <w:r>
        <w:t>四 构筑与展开工作流</w:t>
      </w:r>
    </w:p>
    <w:p>
      <w:pPr>
        <w:pStyle w:val="Heading2"/>
      </w:pPr>
      <w:r>
        <w:t>输入与初始路线</w:t>
      </w:r>
    </w:p>
    <w:p>
      <w:r>
        <w:t>输入主题、已有 CB 或目标终场，并指定卡池、禁表、先后手及用户固定卡。解析目标需要的资源与约束，按交叉标签召回候选，再阅读真实卡效组成主轴与必要 EX。先找到至少一条可验证基础路线，记录实际手牌要求；若不可达，应报告缺口，不能伪造一张卡启动。</w:t>
      </w:r>
    </w:p>
    <w:p>
      <w:pPr>
        <w:pStyle w:val="Heading2"/>
      </w:pPr>
      <w:r>
        <w:t>构筑迭代</w:t>
      </w:r>
    </w:p>
    <w:p>
      <w:r>
        <w:t>验证基础路线后评估启动率、废件风险、资源冲突、自肃和抗干扰能力。依据不足补充主卡组泛用卡、小轴或桥接卡，再检查剩余 EX 位置及泛用 EX 的可达性。每次增减卡后重新验证，不能把单独可行的组件直接视为合并后可行。提供备牌换入换出计划、理由与对局假设，并验证换备后的合法性及主轴运转。</w:t>
      </w:r>
    </w:p>
    <w:p>
      <w:pPr>
        <w:pStyle w:val="Heading2"/>
      </w:pPr>
      <w:r>
        <w:t>训练前的可用搜索</w:t>
      </w:r>
    </w:p>
    <w:p>
      <w:r>
        <w:t>最初允许规则搜索、人工路线和简单评分器提供可解释基线。模型随后学习排序、局面价值或动作选择；不会因尚未拥有强模型而失去基础验证能力。对指定 CB 或终场，可从成功／失败轨迹构建训练样本，但须检查路线是否依赖不合理的对手行为。</w:t>
      </w:r>
    </w:p>
    <w:p>
      <w:pPr>
        <w:pStyle w:val="Heading2"/>
      </w:pPr>
      <w:r>
        <w:t>时间预算与交付</w:t>
      </w:r>
    </w:p>
    <w:p>
      <w:r>
        <w:t>构筑及较深展开推理默认预算范围为 3–30 分钟，训练不受此默认运行时长限制。3／10／30 分钟作为离散档位仅为后续界面建议，尚未锁定。到时输出当前最好且已验证的方案、验证范围、未满足目标和停止原因；不存在合格方案时如实说明。</w:t>
      </w:r>
    </w:p>
    <w:p>
      <w:pPr>
        <w:pStyle w:val="Heading2"/>
      </w:pPr>
      <w:r>
        <w:t>能力推进</w:t>
      </w:r>
    </w:p>
    <w:p>
      <w:r>
        <w:t>单轴阶段验证启动与基本终场；二轴阶段验证资源互补及自肃兼容；复杂混轴阶段验证搜索效率、替代路线和边际收益。每次与纯轴基线比较。最终希望覆盖中断后的妥协终场、重建和续航；这些须逐项验收，不由基础展开成功推定全部实现。</w:t>
      </w:r>
    </w:p>
    <w:p>
      <w:r>
        <w:br w:type="page"/>
      </w:r>
    </w:p>
    <w:p>
      <w:pPr>
        <w:pStyle w:val="Heading1"/>
      </w:pPr>
      <w:r>
        <w:t>五 对局接入与响应控制</w:t>
      </w:r>
    </w:p>
    <w:p>
      <w:pPr>
        <w:pStyle w:val="Heading2"/>
      </w:pPr>
      <w:r>
        <w:t>优先内嵌现有规则生态</w:t>
      </w:r>
    </w:p>
    <w:p>
      <w:r>
        <w:t>优先考察 YGOMobile 与 YGOPro 的开源部分，复用规则核心、脚本、客户端和既有人机配套。保留可用联机能力；若目标组合不具备或不能稳定集成，单机核心仍可继续推进。选定分支与核心版本前必须验证协议、数据库与脚本兼容。不能把“都有开源代码”当作即插即用。</w:t>
      </w:r>
    </w:p>
    <w:p>
      <w:pPr>
        <w:pStyle w:val="Heading2"/>
      </w:pPr>
      <w:r>
        <w:t>观测与动作接口</w:t>
      </w:r>
    </w:p>
    <w:p>
      <w:r>
        <w:t>从规则引擎读取当前允许该玩家获知的信息和待响应提示，编码为观测及候选动作。只在合法候选中选择，并通过适配层提交响应。未知手牌与盖卡保持未知，训练、评估及 API 日志均应避免泄露对手隐藏状态。调试全信息必须单独隔离，不用于正常成绩。</w:t>
      </w:r>
    </w:p>
    <w:p>
      <w:pPr>
        <w:pStyle w:val="Heading2"/>
      </w:pPr>
      <w:r>
        <w:t>实战时间与认输</w:t>
      </w:r>
    </w:p>
    <w:p>
      <w:r>
        <w:t>单步响应目标为 1–3 秒，这是本项目运行指标，不作为官方 Slow Play 统一规则的引用。建议以 3 秒为硬超时，精确计时起点与阈值在原型验收时固定。超时判负后由独立控制器自动认输：撤销本轮任务、拒绝迟到动作、发送投降请求并确认对局结束。不能只停模型而让客户端继续烧绳。</w:t>
      </w:r>
    </w:p>
    <w:p>
      <w:pPr>
        <w:pStyle w:val="Heading2"/>
      </w:pPr>
      <w:r>
        <w:t>异常状态处理</w:t>
      </w:r>
    </w:p>
    <w:p>
      <w:r>
        <w:t>认输后若未确认结束，控制器保持终止状态并按适配协议重试或关闭当前本地对局，记录网络／接口异常，禁止恢复出牌。底层释放对局资源不等于向联机服务器认输；具体实现须走客户端投降协议并检查结果。等待动画和无行动权阶段不应误计为模型决策超时。</w:t>
      </w:r>
    </w:p>
    <w:p>
      <w:pPr>
        <w:pStyle w:val="Heading2"/>
      </w:pPr>
      <w:r>
        <w:t>本地与云端范围</w:t>
      </w:r>
    </w:p>
    <w:p>
      <w:r>
        <w:t>发行版：实际对局与随机对抗均由本地完成；外接 AI API 用于构筑、推理、评估及复盘。开发者版本可让 API 辅助对局，独立标记测试结果。MD 屏幕接入保留为开发者扩展方向，不作为主线验收前提，实际接入前另行核对平台限制。</w:t>
      </w:r>
    </w:p>
    <w:p>
      <w:r>
        <w:br w:type="page"/>
      </w:r>
    </w:p>
    <w:p>
      <w:pPr>
        <w:pStyle w:val="Heading1"/>
      </w:pPr>
      <w:r>
        <w:t>六 训练与可复现评估</w:t>
      </w:r>
    </w:p>
    <w:p>
      <w:pPr>
        <w:pStyle w:val="Heading2"/>
      </w:pPr>
      <w:r>
        <w:t>从小规模开始</w:t>
      </w:r>
    </w:p>
    <w:p>
      <w:r>
        <w:t>先验证数据加载、引擎步进、合法动作与简单策略，再训练小型候选排序器或策略／价值网络。借鉴快速结构化决策理念，并采用规划与执行分工，自行训练权重；不依赖 JEV 成品，也不把公开视频当作其模型架构、大小或训练资源的证据。具体网络结构通过原型结果选择。</w:t>
      </w:r>
    </w:p>
    <w:p>
      <w:pPr>
        <w:pStyle w:val="Heading2"/>
      </w:pPr>
      <w:r>
        <w:t>训练路线</w:t>
      </w:r>
    </w:p>
    <w:p>
      <w:r>
        <w:t>第一层为检索、标签和经验库更新，不宣称发生权重训练。第二层训练排序或动作选择模型。第三层在稳定环境上尝试模仿学习、自博弈或强化学习。语言模型微调／LoRA 属于可选增强，不是每个阶段的必需项。使用混合精度、梯度累积等方案前先测显存与吞吐，记录可复现配置。</w:t>
      </w:r>
    </w:p>
    <w:p>
      <w:pPr>
        <w:pStyle w:val="Heading2"/>
      </w:pPr>
      <w:r>
        <w:t>对墙与随机对抗</w:t>
      </w:r>
    </w:p>
    <w:p>
      <w:r>
        <w:t>对墙练习用于启动、终场可达、废件和基础路线统计；随机对抗从配套可执行卡组及对应人机中抽样，不随机拼凑无意义卡组。优先利用所集成项目的 WindBot 体系，确认每套卡组都有适配策略。按主题、强度、先后手及种子分层报告，不能以容易对手的成绩代表总体能力。</w:t>
      </w:r>
    </w:p>
    <w:p>
      <w:pPr>
        <w:pStyle w:val="Heading2"/>
      </w:pPr>
      <w:r>
        <w:t>核心指标</w:t>
      </w:r>
    </w:p>
    <w:p>
      <w:r>
        <w:t>记录合法动作率、超时率、投降成功率、终场可达率、启动手牌条件、卡手率、对抗胜率与中断后恢复表现。分别统计本地和 API 辅助结果、历史与新卡、训练内与训练外主题。成功样本须可回放；失败、崩溃、未完成和超时都纳入分母或单列解释。</w:t>
      </w:r>
    </w:p>
    <w:p>
      <w:pPr>
        <w:pStyle w:val="Heading2"/>
      </w:pPr>
      <w:r>
        <w:t>个人硬件可行性</w:t>
      </w:r>
    </w:p>
    <w:p>
      <w:r>
        <w:t>8 GB 显存适合从小模型、小批次和较短轨迹实验起步，实际容量受模型、序列长度、优化器及环境数量影响。先用小样本获得显存峰值、每秒样本量和学习曲线，再估算长训练；目前不承诺训练天数、最终胜率或手机速度。</w:t>
      </w:r>
    </w:p>
    <w:p>
      <w:r>
        <w:br w:type="page"/>
      </w:r>
    </w:p>
    <w:p>
      <w:pPr>
        <w:pStyle w:val="Heading1"/>
      </w:pPr>
      <w:r>
        <w:t>七 技术选择与集成边界</w:t>
      </w:r>
    </w:p>
    <w:p>
      <w:pPr>
        <w:pStyle w:val="Heading2"/>
      </w:pPr>
      <w:r>
        <w:t>候选实现栈</w:t>
      </w:r>
    </w:p>
    <w:p>
      <w:r>
        <w:t>Python：数据整理、标签、实验、训练、评估与接口测试。SQLite：卡片、别名、标签和实验索引；全文及向量检索按需要扩展。PyTorch 为自训候选；若直接复用 JAX／Flax 项目，保持清晰独立边界，避免无收益地混用框架。ONNX Runtime／移动推理后端作为导出候选，必须验证算子与精度。</w:t>
      </w:r>
    </w:p>
    <w:p>
      <w:pPr>
        <w:pStyle w:val="Heading2"/>
      </w:pPr>
      <w:r>
        <w:t>编码器与界面</w:t>
      </w:r>
    </w:p>
    <w:p>
      <w:r>
        <w:t>multilingual-e5-small 可作为三语检索候选，不直接锁定；桌面量化体积或运行成功不能推出 Android 可用。通过日文裁定与中文效果测试集比较召回和歧义错误，再选模型。Flutter／Dart 等跨平台方案保留候选，先确认内嵌引擎、平台桥接与调试成本；客户端框架尚未最终确定。</w:t>
      </w:r>
    </w:p>
    <w:p>
      <w:pPr>
        <w:pStyle w:val="Heading2"/>
      </w:pPr>
      <w:r>
        <w:t>公开项目的使用范围</w:t>
      </w:r>
    </w:p>
    <w:p>
      <w:r>
        <w:t>ygo-agent 可参考结构化观测、策略网络及训练环境；Galatea-Core 可参考策略／价值与导出链路；ygo-combo-solver 可参考单回合目标搜索；YGO-Bench 可参考状态与合法响应封装。它们各自解决部分问题，不作为本项目完整能力已存在的证据。</w:t>
      </w:r>
    </w:p>
    <w:p>
      <w:pPr>
        <w:pStyle w:val="Heading2"/>
      </w:pPr>
      <w:r>
        <w:t>已找到的具体接入线索</w:t>
      </w:r>
    </w:p>
    <w:p>
      <w:r>
        <w:t>YGOMobile-cn-ko-en 存在本机对局与 WindBot 调用路径，机器人资源由配套配置组织；相关 libWindbot 为独立组件。YGOPro core 提供 get_message、query、set_response 等接口，仍需自行建立观测、动作、奖励与回放封装，不能称为现成 Gym 环境。联机投降走 CTOS_SURRENDER 等客户端协议，end_duel 只涉及底层对局终止。</w:t>
      </w:r>
    </w:p>
    <w:p>
      <w:pPr>
        <w:pStyle w:val="Heading2"/>
      </w:pPr>
      <w:r>
        <w:t>仍需原型决定</w:t>
      </w:r>
    </w:p>
    <w:p>
      <w:r>
        <w:t>最终分支与版本锁、模型结构、动作编码、精确超时起点、移动后端和导出精度均以兼容性与测试为准。详细许可及分发审核按用户要求后置至上线准备，但保留来源、许可证文件及改动记录，避免后期无法追溯依赖。</w:t>
      </w:r>
    </w:p>
    <w:p>
      <w:r>
        <w:br w:type="page"/>
      </w:r>
    </w:p>
    <w:p>
      <w:pPr>
        <w:pStyle w:val="Heading1"/>
      </w:pPr>
      <w:r>
        <w:t>八 分阶段交付与学习分工</w:t>
      </w:r>
    </w:p>
    <w:p>
      <w:pPr>
        <w:pStyle w:val="Heading2"/>
      </w:pPr>
      <w:r>
        <w:t>阶段 0 数据与最小回路</w:t>
      </w:r>
    </w:p>
    <w:p>
      <w:r>
        <w:t>交付少量真实卡片的身份、别名、原文与标签样本，以及能进入规则环境、读取提示并提交一次合法响应的最小回路。验收：来源可追溯、版本一致、无隐藏信息泄露；不要求此时完成全卡池或智能构筑。</w:t>
      </w:r>
    </w:p>
    <w:p>
      <w:pPr>
        <w:pStyle w:val="Heading2"/>
      </w:pPr>
      <w:r>
        <w:t>阶段 1 单轴闭环</w:t>
      </w:r>
    </w:p>
    <w:p>
      <w:r>
        <w:t>交付一个选定主题的标签召回、真实卡效核对、基础 CB 验证、对墙评估及失败报告。验收：指定种子可复现，路线与手牌条件真实，至少具备一条可行路线或准确说明不可达。卡组合法性由对应禁表与规则核查。</w:t>
      </w:r>
    </w:p>
    <w:p>
      <w:pPr>
        <w:pStyle w:val="Heading2"/>
      </w:pPr>
      <w:r>
        <w:t>阶段 2 二轴与本地实战</w:t>
      </w:r>
    </w:p>
    <w:p>
      <w:r>
        <w:t>交付二轴组合比较、现成人机随机测试、基础本地动作模型和独立超时投降控制。验收：与单轴基线对比，覆盖自肃冲突和中断案例；所有超时都会进入可确认结束或明确异常的终止流程。性能按真实日志报告。</w:t>
      </w:r>
    </w:p>
    <w:p>
      <w:pPr>
        <w:pStyle w:val="Heading2"/>
      </w:pPr>
      <w:r>
        <w:t>阶段 3 核心扩展与应用</w:t>
      </w:r>
    </w:p>
    <w:p>
      <w:r>
        <w:t>先扩展复杂混轴、目标驱动自训、复盘与 API 辅助，再移植 Android 和电脑应用。验收：核心回归通过后测端侧延迟、内存、温度、耗电与安装体积，随后压缩。若裁剪能力，清楚列出发行版支持范围。联机与 MD 扩展单独验收。</w:t>
      </w:r>
    </w:p>
    <w:p>
      <w:pPr>
        <w:pStyle w:val="Heading2"/>
      </w:pPr>
      <w:r>
        <w:t>用户主写与辅助教学</w:t>
      </w:r>
    </w:p>
    <w:p>
      <w:r>
        <w:t>用户亲自完成适合入门的 Python：读取 JSON、卡名查询、标签过滤、统计、测试与简单界面逻辑。辅助方负责拆解任务、解释概念、提供小骨架和测试样例、审查代码及定位错误；复杂原生桥接和训练设施可先示范，再安排可理解的修改任务。每次任务包含目标、知识点、输入输出、提示与验收。</w:t>
      </w:r>
    </w:p>
    <w:p>
      <w:pPr>
        <w:pStyle w:val="Heading2"/>
      </w:pPr>
      <w:r>
        <w:t>个人作品记录</w:t>
      </w:r>
    </w:p>
    <w:p>
      <w:r>
        <w:t>保留自己的提交、实验记录、失败分析与技术取舍。每阶段能用自己的话解释关键函数、数据流与测试结果后再推进；参考代码注明来源，辅助生成部分标注清楚。配套学习文档承担逐课练习，本设计不代替学习过程。</w:t>
      </w:r>
    </w:p>
    <w:p>
      <w:r>
        <w:br w:type="page"/>
      </w:r>
    </w:p>
    <w:p>
      <w:pPr>
        <w:pStyle w:val="Heading1"/>
      </w:pPr>
      <w:r>
        <w:t>九 来源与使用说明</w:t>
      </w:r>
    </w:p>
    <w:p>
      <w:pPr>
        <w:pStyle w:val="Heading2"/>
      </w:pPr>
      <w:r>
        <w:t>原始资料与项目链接</w:t>
      </w:r>
    </w:p>
    <w:p>
      <w:pPr>
        <w:spacing w:line="240" w:lineRule="auto" w:after="80"/>
      </w:pPr>
      <w:r>
        <w:rPr>
          <w:sz w:val="18"/>
        </w:rPr>
        <w:t>以下为本轮调研采用的资料入口，核验截至 2026 年 10 月 18 日。链接用于追溯设计依据；未在本项目中运行的能力仍需实测。社区演示、源码结构、发布资产与性能实证应分别理解。</w:t>
      </w:r>
    </w:p>
    <w:p>
      <w:pPr>
        <w:pStyle w:val="Heading2"/>
      </w:pPr>
      <w:r>
        <w:t>规则与卡片数据</w:t>
      </w:r>
    </w:p>
    <w:p>
      <w:pPr>
        <w:spacing w:line="240" w:lineRule="auto" w:after="80"/>
      </w:pPr>
      <w:r>
        <w:rPr>
          <w:sz w:val="18"/>
        </w:rPr>
        <w:t>OCG 2025 年 10 月禁限卡表</w:t>
        <w:br/>
        <w:t>https://www.yugioh-card.com/japan/event/limitregulation/?list=202510</w:t>
        <w:br/>
        <w:t>百鸽数据接口</w:t>
        <w:br/>
        <w:t>https://ygocdb.com/api</w:t>
        <w:br/>
        <w:t>游戏王官方卡片数据库（日文裁定入口）</w:t>
        <w:br/>
        <w:t>https://www.db.yugioh-card.com/yugiohdb/</w:t>
      </w:r>
    </w:p>
    <w:p>
      <w:pPr>
        <w:pStyle w:val="Heading2"/>
      </w:pPr>
      <w:r>
        <w:t>客户端与人机生态</w:t>
      </w:r>
    </w:p>
    <w:p>
      <w:pPr>
        <w:spacing w:line="240" w:lineRule="auto" w:after="80"/>
      </w:pPr>
      <w:r>
        <w:rPr>
          <w:sz w:val="18"/>
        </w:rPr>
        <w:t>YGOMobile 维护分支</w:t>
        <w:br/>
        <w:t>https://github.com/fallenstardust/YGOMobile-cn-ko-en</w:t>
        <w:br/>
        <w:t>YGOPro 与 core</w:t>
        <w:br/>
        <w:t>https://github.com/Fluorohydride/ygopro</w:t>
        <w:br/>
        <w:t>https://github.com/Fluorohydride/ygopro-core</w:t>
        <w:br/>
        <w:t>WindBot 与配套组件</w:t>
        <w:br/>
        <w:t>https://github.com/IceYGO/windbot</w:t>
        <w:br/>
        <w:t>https://github.com/mercury233/libWindbot</w:t>
        <w:br/>
        <w:t>https://github.com/mercury233/windbot-arena</w:t>
      </w:r>
    </w:p>
    <w:p>
      <w:pPr>
        <w:pStyle w:val="Heading2"/>
      </w:pPr>
      <w:r>
        <w:t>算法参考与模型候选</w:t>
      </w:r>
    </w:p>
    <w:p>
      <w:pPr>
        <w:spacing w:line="240" w:lineRule="auto" w:after="80"/>
      </w:pPr>
      <w:r>
        <w:rPr>
          <w:sz w:val="18"/>
        </w:rPr>
        <w:t>https://github.com/sbl1996/ygo-agent</w:t>
        <w:br/>
        <w:t>https://github.com/Noctfom/Galatea-Core</w:t>
        <w:br/>
        <w:t>https://github.com/Armytille/ygo-combo-solver</w:t>
        <w:br/>
        <w:t>https://github.com/erwinmsmith/YGO-Bench</w:t>
        <w:br/>
        <w:t>https://huggingface.co/intfloat/multilingual-e5-small</w:t>
      </w:r>
    </w:p>
    <w:p>
      <w:pPr>
        <w:pStyle w:val="Heading2"/>
      </w:pPr>
      <w:r>
        <w:t>JEV 相关证据边界</w:t>
      </w:r>
    </w:p>
    <w:p>
      <w:pPr>
        <w:spacing w:line="240" w:lineRule="auto" w:after="80"/>
      </w:pPr>
      <w:r>
        <w:rPr>
          <w:sz w:val="18"/>
        </w:rPr>
        <w:t>Astra 与 JEV 演示：https://www.bilibili.com/video/BV1NXhn6jE4g/</w:t>
        <w:br/>
        <w:t>TypeSafe 部署说明：https://typesafe.ai/enterprise</w:t>
        <w:br/>
        <w:t>公开视频中的 JEV 与同名托管服务是否同一实现尚未确证。本项目只吸收决策分层理念，不预设其网络、参数量、可下载权重或本地训练方案。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项目设计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YGO AI  ·  项目设计定稿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200"/>
      <w:contextualSpacing/>
    </w:pPr>
    <w:rPr>
      <w:rFonts w:asciiTheme="majorHAnsi" w:eastAsiaTheme="majorEastAsia" w:hAnsiTheme="majorHAnsi" w:cstheme="majorBidi" w:ascii="Calibri" w:hAnsi="Calibri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