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70235"/>
          <w:sz w:val="56"/>
        </w:rPr>
        <w:t>runyoro-nmt-v1</w:t>
      </w:r>
    </w:p>
    <w:p>
      <w:pPr>
        <w:jc w:val="center"/>
      </w:pPr>
      <w:r>
        <w:rPr>
          <w:color w:val="006A61"/>
          <w:sz w:val="28"/>
        </w:rPr>
        <w:t>Bidirectional Runyoro-Rutooro ↔ English</w:t>
        <w:br/>
        <w:t>Neural Machine Translation Model</w:t>
        <w:br/>
        <w:br/>
        <w:t>Training Methodology &amp; Technical Decisions</w:t>
      </w:r>
    </w:p>
    <w:p/>
    <w:p>
      <w:pPr>
        <w:jc w:val="center"/>
      </w:pPr>
      <w:r>
        <w:rPr>
          <w:color w:val="787680"/>
          <w:sz w:val="24"/>
        </w:rPr>
        <w:t>June 2026</w:t>
      </w:r>
    </w:p>
    <w:p>
      <w:r>
        <w:br w:type="page"/>
      </w:r>
    </w:p>
    <w:p>
      <w:pPr>
        <w:pStyle w:val="Heading1"/>
      </w:pPr>
      <w:r>
        <w:rPr>
          <w:color w:val="070235"/>
        </w:rPr>
        <w:t>1. Project Overview</w:t>
      </w:r>
    </w:p>
    <w:p>
      <w:pPr>
        <w:spacing w:after="120"/>
      </w:pPr>
      <w:r>
        <w:t>runyoro-nmt-v1 is a production-grade bidirectional neural machine translation (NMT) system for Runyoro-Rutooro (a Bantu language spoken in western Uganda) and English. The model is fine-tuned from Meta’s NLLB-200-distilled-1.3B, a 1.3 billion parameter multilingual translation model supporting 200 languages.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Model ID</w:t>
            </w:r>
          </w:p>
        </w:tc>
        <w:tc>
          <w:tcPr>
            <w:tcW w:type="dxa" w:w="4320"/>
          </w:tcPr>
          <w:p>
            <w:r>
              <w:t>kathay/runyoro-nmt-v1</w:t>
            </w:r>
          </w:p>
        </w:tc>
      </w:tr>
      <w:tr>
        <w:tc>
          <w:tcPr>
            <w:tcW w:type="dxa" w:w="4320"/>
          </w:tcPr>
          <w:p>
            <w:r>
              <w:t>Base model</w:t>
            </w:r>
          </w:p>
        </w:tc>
        <w:tc>
          <w:tcPr>
            <w:tcW w:type="dxa" w:w="4320"/>
          </w:tcPr>
          <w:p>
            <w:r>
              <w:t>facebook/nllb-200-distilled-1.3B</w:t>
            </w:r>
          </w:p>
        </w:tc>
      </w:tr>
      <w:tr>
        <w:tc>
          <w:tcPr>
            <w:tcW w:type="dxa" w:w="4320"/>
          </w:tcPr>
          <w:p>
            <w:r>
              <w:t>Language pair</w:t>
            </w:r>
          </w:p>
        </w:tc>
        <w:tc>
          <w:tcPr>
            <w:tcW w:type="dxa" w:w="4320"/>
          </w:tcPr>
          <w:p>
            <w:r>
              <w:t>Runyoro-Rutooro (nyk) ↔ English (en)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1,370.6 M (1.3B)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bfloat16</w:t>
            </w:r>
          </w:p>
        </w:tc>
      </w:tr>
      <w:tr>
        <w:tc>
          <w:tcPr>
            <w:tcW w:type="dxa" w:w="4320"/>
          </w:tcPr>
          <w:p>
            <w:r>
              <w:t>Hardware</w:t>
            </w:r>
          </w:p>
        </w:tc>
        <w:tc>
          <w:tcPr>
            <w:tcW w:type="dxa" w:w="4320"/>
          </w:tcPr>
          <w:p>
            <w:r>
              <w:t>2 × NVIDIA RTX 4090 (DataParallel)</w:t>
            </w:r>
          </w:p>
        </w:tc>
      </w:tr>
      <w:tr>
        <w:tc>
          <w:tcPr>
            <w:tcW w:type="dxa" w:w="4320"/>
          </w:tcPr>
          <w:p>
            <w:r>
              <w:t>Training epochs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Effective batch size</w:t>
            </w:r>
          </w:p>
        </w:tc>
        <w:tc>
          <w:tcPr>
            <w:tcW w:type="dxa" w:w="4320"/>
          </w:tcPr>
          <w:p>
            <w:r>
              <w:t>64 (16 per device × 4 grad accum)</w:t>
            </w:r>
          </w:p>
        </w:tc>
      </w:tr>
      <w:tr>
        <w:tc>
          <w:tcPr>
            <w:tcW w:type="dxa" w:w="4320"/>
          </w:tcPr>
          <w:p>
            <w:r>
              <w:t>Learning rate</w:t>
            </w:r>
          </w:p>
        </w:tc>
        <w:tc>
          <w:tcPr>
            <w:tcW w:type="dxa" w:w="4320"/>
          </w:tcPr>
          <w:p>
            <w:r>
              <w:t>5 × 10⁻⁵</w:t>
            </w:r>
          </w:p>
        </w:tc>
      </w:tr>
      <w:tr>
        <w:tc>
          <w:tcPr>
            <w:tcW w:type="dxa" w:w="4320"/>
          </w:tcPr>
          <w:p>
            <w:r>
              <w:t>Scheduler</w:t>
            </w:r>
          </w:p>
        </w:tc>
        <w:tc>
          <w:tcPr>
            <w:tcW w:type="dxa" w:w="4320"/>
          </w:tcPr>
          <w:p>
            <w:r>
              <w:t>Cosine with 500 warmup steps</w:t>
            </w:r>
          </w:p>
        </w:tc>
      </w:tr>
      <w:tr>
        <w:tc>
          <w:tcPr>
            <w:tcW w:type="dxa" w:w="4320"/>
          </w:tcPr>
          <w:p>
            <w:r>
              <w:t>Optimizer</w:t>
            </w:r>
          </w:p>
        </w:tc>
        <w:tc>
          <w:tcPr>
            <w:tcW w:type="dxa" w:w="4320"/>
          </w:tcPr>
          <w:p>
            <w:r>
              <w:t>AdamW (weight decay = 0.01)</w:t>
            </w:r>
          </w:p>
        </w:tc>
      </w:tr>
      <w:tr>
        <w:tc>
          <w:tcPr>
            <w:tcW w:type="dxa" w:w="4320"/>
          </w:tcPr>
          <w:p>
            <w:r>
              <w:t>BLEU (test, rny→en)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chrF++ (test, rny→en)</w:t>
            </w:r>
          </w:p>
        </w:tc>
        <w:tc>
          <w:tcPr>
            <w:tcW w:type="dxa" w:w="4320"/>
          </w:tcPr>
          <w:p>
            <w:r>
              <w:t>10.58</w:t>
            </w:r>
          </w:p>
        </w:tc>
      </w:tr>
    </w:tbl>
    <w:p/>
    <w:p>
      <w:pPr>
        <w:pStyle w:val="Heading1"/>
      </w:pPr>
      <w:r>
        <w:rPr>
          <w:color w:val="070235"/>
        </w:rPr>
        <w:t>2. Data Pipeline</w:t>
      </w:r>
    </w:p>
    <w:p>
      <w:pPr>
        <w:pStyle w:val="Heading2"/>
      </w:pPr>
      <w:r>
        <w:rPr>
          <w:color w:val="070235"/>
        </w:rPr>
        <w:t>2.1 Raw Data Sources</w:t>
      </w:r>
    </w:p>
    <w:p>
      <w:pPr>
        <w:spacing w:after="120"/>
      </w:pPr>
      <w:r>
        <w:t>Eight raw files were collected from bilingual speakers and linguistic researchers: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Raw pairs</w:t>
            </w:r>
          </w:p>
        </w:tc>
      </w:tr>
      <w:tr>
        <w:tc>
          <w:tcPr>
            <w:tcW w:type="dxa" w:w="2880"/>
          </w:tcPr>
          <w:p>
            <w:r>
              <w:t>Agriculture Seed Vocabulary.csv.xlsx</w:t>
            </w:r>
          </w:p>
        </w:tc>
        <w:tc>
          <w:tcPr>
            <w:tcW w:type="dxa" w:w="2880"/>
          </w:tcPr>
          <w:p>
            <w:r>
              <w:t>Excel spreadsheet</w:t>
            </w:r>
          </w:p>
        </w:tc>
        <w:tc>
          <w:tcPr>
            <w:tcW w:type="dxa" w:w="2880"/>
          </w:tcPr>
          <w:p>
            <w:r>
              <w:t>123</w:t>
            </w:r>
          </w:p>
        </w:tc>
      </w:tr>
      <w:tr>
        <w:tc>
          <w:tcPr>
            <w:tcW w:type="dxa" w:w="2880"/>
          </w:tcPr>
          <w:p>
            <w:r>
              <w:t>augmentted pos pairs.xlsx</w:t>
            </w:r>
          </w:p>
        </w:tc>
        <w:tc>
          <w:tcPr>
            <w:tcW w:type="dxa" w:w="2880"/>
          </w:tcPr>
          <w:p>
            <w:r>
              <w:t>Excel spreadsheet</w:t>
            </w:r>
          </w:p>
        </w:tc>
        <w:tc>
          <w:tcPr>
            <w:tcW w:type="dxa" w:w="2880"/>
          </w:tcPr>
          <w:p>
            <w:r>
              <w:t>2,776</w:t>
            </w:r>
          </w:p>
        </w:tc>
      </w:tr>
      <w:tr>
        <w:tc>
          <w:tcPr>
            <w:tcW w:type="dxa" w:w="2880"/>
          </w:tcPr>
          <w:p>
            <w:r>
              <w:t>Ff_fixed worked on.docx</w:t>
            </w:r>
          </w:p>
        </w:tc>
        <w:tc>
          <w:tcPr>
            <w:tcW w:type="dxa" w:w="2880"/>
          </w:tcPr>
          <w:p>
            <w:r>
              <w:t>Word document</w:t>
            </w:r>
          </w:p>
        </w:tc>
        <w:tc>
          <w:tcPr>
            <w:tcW w:type="dxa" w:w="2880"/>
          </w:tcPr>
          <w:p>
            <w:r>
              <w:t>111</w:t>
            </w:r>
          </w:p>
        </w:tc>
      </w:tr>
      <w:tr>
        <w:tc>
          <w:tcPr>
            <w:tcW w:type="dxa" w:w="2880"/>
          </w:tcPr>
          <w:p>
            <w:r>
              <w:t>J_fixed Worked on.docx</w:t>
            </w:r>
          </w:p>
        </w:tc>
        <w:tc>
          <w:tcPr>
            <w:tcW w:type="dxa" w:w="2880"/>
          </w:tcPr>
          <w:p>
            <w:r>
              <w:t>Word document</w:t>
            </w:r>
          </w:p>
        </w:tc>
        <w:tc>
          <w:tcPr>
            <w:tcW w:type="dxa" w:w="2880"/>
          </w:tcPr>
          <w:p>
            <w:r>
              <w:t>165</w:t>
            </w:r>
          </w:p>
        </w:tc>
      </w:tr>
      <w:tr>
        <w:tc>
          <w:tcPr>
            <w:tcW w:type="dxa" w:w="2880"/>
          </w:tcPr>
          <w:p>
            <w:r>
              <w:t>Tt fixed worked on.docx</w:t>
            </w:r>
          </w:p>
        </w:tc>
        <w:tc>
          <w:tcPr>
            <w:tcW w:type="dxa" w:w="2880"/>
          </w:tcPr>
          <w:p>
            <w:r>
              <w:t>Word document</w:t>
            </w:r>
          </w:p>
        </w:tc>
        <w:tc>
          <w:tcPr>
            <w:tcW w:type="dxa" w:w="2880"/>
          </w:tcPr>
          <w:p>
            <w:r>
              <w:t>584</w:t>
            </w:r>
          </w:p>
        </w:tc>
      </w:tr>
      <w:tr>
        <w:tc>
          <w:tcPr>
            <w:tcW w:type="dxa" w:w="2880"/>
          </w:tcPr>
          <w:p>
            <w:r>
              <w:t>U_fixed ...docx</w:t>
            </w:r>
          </w:p>
        </w:tc>
        <w:tc>
          <w:tcPr>
            <w:tcW w:type="dxa" w:w="2880"/>
          </w:tcPr>
          <w:p>
            <w:r>
              <w:t>Word document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V_fixed worked on.docx</w:t>
            </w:r>
          </w:p>
        </w:tc>
        <w:tc>
          <w:tcPr>
            <w:tcW w:type="dxa" w:w="2880"/>
          </w:tcPr>
          <w:p>
            <w:r>
              <w:t>Word document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W_fixed worked on.docx</w:t>
            </w:r>
          </w:p>
        </w:tc>
        <w:tc>
          <w:tcPr>
            <w:tcW w:type="dxa" w:w="2880"/>
          </w:tcPr>
          <w:p>
            <w:r>
              <w:t>Word document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</w:tbl>
    <w:p/>
    <w:p>
      <w:pPr>
        <w:spacing w:after="120"/>
      </w:pPr>
      <w:r>
        <w:t>Total raw pairs extracted: 3,782 across all sources.</w:t>
      </w:r>
    </w:p>
    <w:p>
      <w:pPr>
        <w:pStyle w:val="Heading2"/>
      </w:pPr>
      <w:r>
        <w:rPr>
          <w:color w:val="070235"/>
        </w:rPr>
        <w:t>2.2 Validation &amp; QA (Stage 2)</w:t>
      </w:r>
    </w:p>
    <w:p>
      <w:pPr>
        <w:spacing w:after="120"/>
      </w:pPr>
      <w:r>
        <w:t>Each extracted pair passed through a multi-criteria validator:</w:t>
      </w:r>
    </w:p>
    <w:p>
      <w:pPr>
        <w:pStyle w:val="ListBullet"/>
        <w:spacing w:after="40"/>
      </w:pPr>
      <w:r>
        <w:t>Min/max token length thresholds (2–200 tokens)</w:t>
      </w:r>
    </w:p>
    <w:p>
      <w:pPr>
        <w:pStyle w:val="ListBullet"/>
        <w:spacing w:after="40"/>
      </w:pPr>
      <w:r>
        <w:t>Character ratio check: min(src, tgt) / max(src, tgt) ≥ 0.4</w:t>
      </w:r>
    </w:p>
    <w:p>
      <w:pPr>
        <w:pStyle w:val="ListBullet"/>
        <w:spacing w:after="40"/>
      </w:pPr>
      <w:r>
        <w:t>Max character ratio multiplier ≤ 4.0</w:t>
      </w:r>
    </w:p>
    <w:p>
      <w:pPr>
        <w:pStyle w:val="ListBullet"/>
        <w:spacing w:after="40"/>
      </w:pPr>
      <w:r>
        <w:t>Unicode normalisation (NFKC)</w:t>
      </w:r>
    </w:p>
    <w:p>
      <w:pPr>
        <w:pStyle w:val="ListBullet"/>
        <w:spacing w:after="40"/>
      </w:pPr>
      <w:r>
        <w:t>Deduplication of identical pairs</w:t>
      </w:r>
    </w:p>
    <w:p>
      <w:pPr>
        <w:pStyle w:val="ListBullet"/>
        <w:spacing w:after="40"/>
      </w:pPr>
      <w:r>
        <w:t>POS tag and special character filtering</w:t>
      </w:r>
    </w:p>
    <w:p>
      <w:pPr>
        <w:spacing w:after="120"/>
      </w:pPr>
      <w:r>
        <w:t>Result: 3,774 valid pairs retained (8 rejected). 3,061 issues logged for review.</w:t>
      </w:r>
    </w:p>
    <w:p>
      <w:pPr>
        <w:pStyle w:val="Heading2"/>
      </w:pPr>
      <w:r>
        <w:rPr>
          <w:color w:val="070235"/>
        </w:rPr>
        <w:t>2.3 Alignment Check (Stage 3)</w:t>
      </w:r>
    </w:p>
    <w:p>
      <w:pPr>
        <w:spacing w:after="120"/>
      </w:pPr>
      <w:r>
        <w:t>A cross-lingual alignment check identified potential translation mismatches. Suspicious alignments: 430 pairs (11.4%). These were flagged but retained for training with lower confidence weighting.</w:t>
      </w:r>
    </w:p>
    <w:p>
      <w:pPr>
        <w:pStyle w:val="Heading2"/>
      </w:pPr>
      <w:r>
        <w:rPr>
          <w:color w:val="070235"/>
        </w:rPr>
        <w:t>2.4 Cleaning &amp; Normalisation (Stage 4)</w:t>
      </w:r>
    </w:p>
    <w:p>
      <w:pPr>
        <w:spacing w:after="120"/>
      </w:pPr>
      <w:r>
        <w:t>Automatic cleaning normalised punctuation, fixed spacing, standardised Runyoro-Rutooro orthography (removing diacritic inconsistencies), and stripped leaked metadata tags. 2,932 of 3,774 pairs (77.7%) were modified.</w:t>
      </w:r>
    </w:p>
    <w:p>
      <w:pPr>
        <w:pStyle w:val="Heading2"/>
      </w:pPr>
      <w:r>
        <w:rPr>
          <w:color w:val="070235"/>
        </w:rPr>
        <w:t>2.5 Linguistic Resources (Stage 5)</w:t>
      </w:r>
    </w:p>
    <w:p>
      <w:pPr>
        <w:spacing w:after="120"/>
      </w:pPr>
      <w:r>
        <w:t>From the validated pairs, the pipeline built reusable language resources:</w:t>
      </w:r>
    </w:p>
    <w:p>
      <w:pPr>
        <w:pStyle w:val="ListBullet"/>
        <w:spacing w:after="40"/>
      </w:pPr>
      <w:r>
        <w:t>Translation Memory (TMX): 3,774 entries</w:t>
      </w:r>
    </w:p>
    <w:p>
      <w:pPr>
        <w:pStyle w:val="ListBullet"/>
        <w:spacing w:after="40"/>
      </w:pPr>
      <w:r>
        <w:t>Glossary (CSV/JSON): 2,413 terms</w:t>
      </w:r>
    </w:p>
    <w:p>
      <w:pPr>
        <w:pStyle w:val="ListBullet"/>
        <w:spacing w:after="40"/>
      </w:pPr>
      <w:r>
        <w:t>TBX terminology database: 3,774 entries</w:t>
      </w:r>
    </w:p>
    <w:p>
      <w:pPr>
        <w:pStyle w:val="ListBullet"/>
        <w:spacing w:after="40"/>
      </w:pPr>
      <w:r>
        <w:t>Named entities: 242 entries</w:t>
      </w:r>
    </w:p>
    <w:p>
      <w:pPr>
        <w:pStyle w:val="Heading2"/>
      </w:pPr>
      <w:r>
        <w:rPr>
          <w:color w:val="070235"/>
        </w:rPr>
        <w:t>2.6 Data Augmentation (Stage 6)</w:t>
      </w:r>
    </w:p>
    <w:p>
      <w:pPr>
        <w:spacing w:after="120"/>
      </w:pPr>
      <w:r>
        <w:t>To compensate for the small corpus, three augmentation strategies were applied: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Samples generated</w:t>
            </w:r>
          </w:p>
        </w:tc>
      </w:tr>
      <w:tr>
        <w:tc>
          <w:tcPr>
            <w:tcW w:type="dxa" w:w="2880"/>
          </w:tcPr>
          <w:p>
            <w:r>
              <w:t>Token deletion</w:t>
            </w:r>
          </w:p>
        </w:tc>
        <w:tc>
          <w:tcPr>
            <w:tcW w:type="dxa" w:w="2880"/>
          </w:tcPr>
          <w:p>
            <w:r>
              <w:t>Randomly drop 5% of tokens</w:t>
            </w:r>
          </w:p>
        </w:tc>
        <w:tc>
          <w:tcPr>
            <w:tcW w:type="dxa" w:w="2880"/>
          </w:tcPr>
          <w:p>
            <w:r>
              <w:t>275</w:t>
            </w:r>
          </w:p>
        </w:tc>
      </w:tr>
      <w:tr>
        <w:tc>
          <w:tcPr>
            <w:tcW w:type="dxa" w:w="2880"/>
          </w:tcPr>
          <w:p>
            <w:r>
              <w:t>Token swap</w:t>
            </w:r>
          </w:p>
        </w:tc>
        <w:tc>
          <w:tcPr>
            <w:tcW w:type="dxa" w:w="2880"/>
          </w:tcPr>
          <w:p>
            <w:r>
              <w:t>Swap adjacent tokens (5% probability)</w:t>
            </w:r>
          </w:p>
        </w:tc>
        <w:tc>
          <w:tcPr>
            <w:tcW w:type="dxa" w:w="2880"/>
          </w:tcPr>
          <w:p>
            <w:r>
              <w:t>229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Both deletion and swap</w:t>
            </w:r>
          </w:p>
        </w:tc>
        <w:tc>
          <w:tcPr>
            <w:tcW w:type="dxa" w:w="2880"/>
          </w:tcPr>
          <w:p>
            <w:r>
              <w:t>242</w:t>
            </w:r>
          </w:p>
        </w:tc>
      </w:tr>
    </w:tbl>
    <w:p/>
    <w:p>
      <w:pPr>
        <w:spacing w:after="120"/>
      </w:pPr>
      <w:r>
        <w:t>Total augmented samples: 746. Final dataset after augmentation: 4,520 pairs.</w:t>
      </w:r>
    </w:p>
    <w:p>
      <w:pPr>
        <w:pStyle w:val="Heading2"/>
      </w:pPr>
      <w:r>
        <w:rPr>
          <w:color w:val="070235"/>
        </w:rPr>
        <w:t>2.7 Train/Val/Test Split (Stage 7)</w:t>
      </w:r>
    </w:p>
    <w:p>
      <w:pPr>
        <w:spacing w:after="120"/>
      </w:pPr>
      <w:r>
        <w:t>The final dataset was split using an 85/10/5 ratio with seed 42: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Split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Pairs</w:t>
            </w:r>
          </w:p>
        </w:tc>
      </w:tr>
      <w:tr>
        <w:tc>
          <w:tcPr>
            <w:tcW w:type="dxa" w:w="4320"/>
          </w:tcPr>
          <w:p>
            <w:r>
              <w:t>Train</w:t>
            </w:r>
          </w:p>
        </w:tc>
        <w:tc>
          <w:tcPr>
            <w:tcW w:type="dxa" w:w="4320"/>
          </w:tcPr>
          <w:p>
            <w:r>
              <w:t>3,842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452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226</w:t>
            </w:r>
          </w:p>
        </w:tc>
      </w:tr>
    </w:tbl>
    <w:p/>
    <w:p>
      <w:pPr>
        <w:pStyle w:val="Heading1"/>
      </w:pPr>
      <w:r>
        <w:rPr>
          <w:color w:val="070235"/>
        </w:rPr>
        <w:t>3. Model Architecture</w:t>
      </w:r>
    </w:p>
    <w:p>
      <w:pPr>
        <w:spacing w:after="120"/>
      </w:pPr>
      <w:r>
        <w:t>The model is based on NLLB-200-distilled-1.3B, a distilled variant of Meta’s No Language Left Behind (NLLB-200) model. Key architectural decisions:</w:t>
      </w:r>
    </w:p>
    <w:p>
      <w:pPr>
        <w:pStyle w:val="ListBullet"/>
        <w:spacing w:after="40"/>
      </w:pPr>
      <w:r>
        <w:t>Encoder-decoder Transformer with 1.3B parameters</w:t>
      </w:r>
    </w:p>
    <w:p>
      <w:pPr>
        <w:pStyle w:val="ListBullet"/>
        <w:spacing w:after="40"/>
      </w:pPr>
      <w:r>
        <w:t>bfloat16 precision for efficient training on RTX 4090 (Ampere native)</w:t>
      </w:r>
    </w:p>
    <w:p>
      <w:pPr>
        <w:pStyle w:val="ListBullet"/>
        <w:spacing w:after="40"/>
      </w:pPr>
      <w:r>
        <w:t>DataParallel across 2 GPUs (not DDP, to avoid Windows TCPStore issues)</w:t>
      </w:r>
    </w:p>
    <w:p>
      <w:pPr>
        <w:pStyle w:val="ListBullet"/>
        <w:spacing w:after="40"/>
      </w:pPr>
      <w:r>
        <w:t>Patched decoder_inputs_embeds stripping for transformers 4.57.x compatibility</w:t>
      </w:r>
    </w:p>
    <w:p>
      <w:pPr>
        <w:pStyle w:val="Heading2"/>
      </w:pPr>
      <w:r>
        <w:rPr>
          <w:color w:val="070235"/>
        </w:rPr>
        <w:t>3.1 Language Token Handling</w:t>
      </w:r>
    </w:p>
    <w:p>
      <w:pPr>
        <w:spacing w:after="120"/>
      </w:pPr>
      <w:r>
        <w:t>NLLB-200 uses language-specific BOS (beginning-of-sequence) tokens to control the target language during generation. Runyoro-Rutooro corresponds to the ISO 639-3 code nyk, which maps to the NLLB token nyk_Latn. However, nyk_Latn is not a valid NLLB language token (it resolves to token ID 3 = &lt;unk&gt;). The closest supported Ugandan Bantu language token, lug_Latn (ID 256110), was used as the forced BOS token for Runyoro target generation during both training and inference.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NLLB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Token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eng_Latn</w:t>
            </w:r>
          </w:p>
        </w:tc>
        <w:tc>
          <w:tcPr>
            <w:tcW w:type="dxa" w:w="2160"/>
          </w:tcPr>
          <w:p>
            <w:r>
              <w:t>256047</w:t>
            </w:r>
          </w:p>
        </w:tc>
        <w:tc>
          <w:tcPr>
            <w:tcW w:type="dxa" w:w="2160"/>
          </w:tcPr>
          <w:p>
            <w:r>
              <w:t>English source/target encoding</w:t>
            </w:r>
          </w:p>
        </w:tc>
      </w:tr>
      <w:tr>
        <w:tc>
          <w:tcPr>
            <w:tcW w:type="dxa" w:w="2160"/>
          </w:tcPr>
          <w:p>
            <w:r>
              <w:t>Runyoro-Rutooro</w:t>
            </w:r>
          </w:p>
        </w:tc>
        <w:tc>
          <w:tcPr>
            <w:tcW w:type="dxa" w:w="2160"/>
          </w:tcPr>
          <w:p>
            <w:r>
              <w:t>nyk_Latn</w:t>
            </w:r>
          </w:p>
        </w:tc>
        <w:tc>
          <w:tcPr>
            <w:tcW w:type="dxa" w:w="2160"/>
          </w:tcPr>
          <w:p>
            <w:r>
              <w:t>3 (&lt;unk&gt;)</w:t>
            </w:r>
          </w:p>
        </w:tc>
        <w:tc>
          <w:tcPr>
            <w:tcW w:type="dxa" w:w="2160"/>
          </w:tcPr>
          <w:p>
            <w:r>
              <w:t>Runyoro source encoding</w:t>
            </w:r>
          </w:p>
        </w:tc>
      </w:tr>
      <w:tr>
        <w:tc>
          <w:tcPr>
            <w:tcW w:type="dxa" w:w="2160"/>
          </w:tcPr>
          <w:p>
            <w:r>
              <w:t>Runyoro BOS (proxy)</w:t>
            </w:r>
          </w:p>
        </w:tc>
        <w:tc>
          <w:tcPr>
            <w:tcW w:type="dxa" w:w="2160"/>
          </w:tcPr>
          <w:p>
            <w:r>
              <w:t>lug_Latn</w:t>
            </w:r>
          </w:p>
        </w:tc>
        <w:tc>
          <w:tcPr>
            <w:tcW w:type="dxa" w:w="2160"/>
          </w:tcPr>
          <w:p>
            <w:r>
              <w:t>256110</w:t>
            </w:r>
          </w:p>
        </w:tc>
        <w:tc>
          <w:tcPr>
            <w:tcW w:type="dxa" w:w="2160"/>
          </w:tcPr>
          <w:p>
            <w:r>
              <w:t>Forced BOS for Runyoro generation</w:t>
            </w:r>
          </w:p>
        </w:tc>
      </w:tr>
    </w:tbl>
    <w:p/>
    <w:p>
      <w:pPr>
        <w:pStyle w:val="Heading2"/>
      </w:pPr>
      <w:r>
        <w:rPr>
          <w:color w:val="070235"/>
        </w:rPr>
        <w:t>3.2 Bidirectional Training</w:t>
      </w:r>
    </w:p>
    <w:p>
      <w:pPr>
        <w:spacing w:after="120"/>
      </w:pPr>
      <w:r>
        <w:t>The model was trained bidirectionally: for each parallel sentence pair, both directions (rny→en and en→rny) were included in the training dataset. This doubled the effective training samples and taught the model to translate in both directions with a single set of weights.</w:t>
      </w:r>
    </w:p>
    <w:p>
      <w:pPr>
        <w:pStyle w:val="Heading1"/>
      </w:pPr>
      <w:r>
        <w:rPr>
          <w:color w:val="070235"/>
        </w:rPr>
        <w:t>4. Training Process</w:t>
      </w:r>
    </w:p>
    <w:p>
      <w:pPr>
        <w:pStyle w:val="Heading2"/>
      </w:pPr>
      <w:r>
        <w:rPr>
          <w:color w:val="070235"/>
        </w:rPr>
        <w:t>4.1 Hyperparameters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Hyperparameter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Epochs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Enough for convergence on small dataset</w:t>
            </w:r>
          </w:p>
        </w:tc>
      </w:tr>
      <w:tr>
        <w:tc>
          <w:tcPr>
            <w:tcW w:type="dxa" w:w="2880"/>
          </w:tcPr>
          <w:p>
            <w:r>
              <w:t>Batch size (per device)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Fits 24 GB VRAM for 1.3B model</w:t>
            </w:r>
          </w:p>
        </w:tc>
      </w:tr>
      <w:tr>
        <w:tc>
          <w:tcPr>
            <w:tcW w:type="dxa" w:w="2880"/>
          </w:tcPr>
          <w:p>
            <w:r>
              <w:t>Gradient accumulation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Effective batch = 64 for stability</w:t>
            </w:r>
          </w:p>
        </w:tc>
      </w:tr>
      <w:tr>
        <w:tc>
          <w:tcPr>
            <w:tcW w:type="dxa" w:w="2880"/>
          </w:tcPr>
          <w:p>
            <w:r>
              <w:t>Learning rate</w:t>
            </w:r>
          </w:p>
        </w:tc>
        <w:tc>
          <w:tcPr>
            <w:tcW w:type="dxa" w:w="2880"/>
          </w:tcPr>
          <w:p>
            <w:r>
              <w:t>5 × 10⁻⁵</w:t>
            </w:r>
          </w:p>
        </w:tc>
        <w:tc>
          <w:tcPr>
            <w:tcW w:type="dxa" w:w="2880"/>
          </w:tcPr>
          <w:p>
            <w:r>
              <w:t>Standard for NLLB fine-tuning</w:t>
            </w:r>
          </w:p>
        </w:tc>
      </w:tr>
      <w:tr>
        <w:tc>
          <w:tcPr>
            <w:tcW w:type="dxa" w:w="2880"/>
          </w:tcPr>
          <w:p>
            <w:r>
              <w:t>Warmup steps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Stable ramp-up from zero</w:t>
            </w:r>
          </w:p>
        </w:tc>
      </w:tr>
      <w:tr>
        <w:tc>
          <w:tcPr>
            <w:tcW w:type="dxa" w:w="2880"/>
          </w:tcPr>
          <w:p>
            <w:r>
              <w:t>Weight decay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Mild regularisation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Cosine</w:t>
            </w:r>
          </w:p>
        </w:tc>
        <w:tc>
          <w:tcPr>
            <w:tcW w:type="dxa" w:w="2880"/>
          </w:tcPr>
          <w:p>
            <w:r>
              <w:t>Smooth decay with warm restarts</w:t>
            </w:r>
          </w:p>
        </w:tc>
      </w:tr>
      <w:tr>
        <w:tc>
          <w:tcPr>
            <w:tcW w:type="dxa" w:w="2880"/>
          </w:tcPr>
          <w:p>
            <w:r>
              <w:t>Label smoothing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Disabled (conflicts with Trainer internals)</w:t>
            </w:r>
          </w:p>
        </w:tc>
      </w:tr>
      <w:tr>
        <w:tc>
          <w:tcPr>
            <w:tcW w:type="dxa" w:w="2880"/>
          </w:tcPr>
          <w:p>
            <w:r>
              <w:t>BF16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Native on RTX 4090, saves VRAM</w:t>
            </w:r>
          </w:p>
        </w:tc>
      </w:tr>
      <w:tr>
        <w:tc>
          <w:tcPr>
            <w:tcW w:type="dxa" w:w="2880"/>
          </w:tcPr>
          <w:p>
            <w:r>
              <w:t>Early stopping patience</w:t>
            </w:r>
          </w:p>
        </w:tc>
        <w:tc>
          <w:tcPr>
            <w:tcW w:type="dxa" w:w="2880"/>
          </w:tcPr>
          <w:p>
            <w:r>
              <w:t>3 epochs</w:t>
            </w:r>
          </w:p>
        </w:tc>
        <w:tc>
          <w:tcPr>
            <w:tcW w:type="dxa" w:w="2880"/>
          </w:tcPr>
          <w:p>
            <w:r>
              <w:t>Prevent overfitting</w:t>
            </w:r>
          </w:p>
        </w:tc>
      </w:tr>
    </w:tbl>
    <w:p/>
    <w:p>
      <w:pPr>
        <w:pStyle w:val="Heading2"/>
      </w:pPr>
      <w:r>
        <w:rPr>
          <w:color w:val="070235"/>
        </w:rPr>
        <w:t>4.2 Optimisation</w:t>
      </w:r>
    </w:p>
    <w:p>
      <w:pPr>
        <w:spacing w:after="120"/>
      </w:pPr>
      <w:r>
        <w:t>AdamW optimiser with weight decay of 0.01 and a cosine learning rate schedule with 500 linear warmup steps. Evaluation used BLEU (sacrebleu, 13a tokenisation) and chrF++ (word_order=2). The best model checkpoint was selected by validation BLEU.</w:t>
      </w:r>
    </w:p>
    <w:p>
      <w:pPr>
        <w:pStyle w:val="Heading2"/>
      </w:pPr>
      <w:r>
        <w:rPr>
          <w:color w:val="070235"/>
        </w:rPr>
        <w:t>4.3 Multi-GPU Setup</w:t>
      </w:r>
    </w:p>
    <w:p>
      <w:pPr>
        <w:spacing w:after="120"/>
      </w:pPr>
      <w:r>
        <w:t>Training used PyTorch’s DataParallel wrapper across 2 × NVIDIA RTX 4090 (48 GB total VRAM). Single-process design avoided torch.distributed to work around the TCPStore/libuv compatibility issue on Windows. The model weights were cast to bfloat16 before DataParallel wrapping for optimal memory usage.</w:t>
      </w:r>
    </w:p>
    <w:p>
      <w:pPr>
        <w:pStyle w:val="Heading2"/>
      </w:pPr>
      <w:r>
        <w:rPr>
          <w:color w:val="070235"/>
        </w:rPr>
        <w:t>4.4 Evaluation Metrics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BLEU (sacrebleu)</w:t>
            </w:r>
          </w:p>
        </w:tc>
        <w:tc>
          <w:tcPr>
            <w:tcW w:type="dxa" w:w="4320"/>
          </w:tcPr>
          <w:p>
            <w:r>
              <w:t>n-gram precision with brevity penalty (13a tokeniser)</w:t>
            </w:r>
          </w:p>
        </w:tc>
      </w:tr>
      <w:tr>
        <w:tc>
          <w:tcPr>
            <w:tcW w:type="dxa" w:w="4320"/>
          </w:tcPr>
          <w:p>
            <w:r>
              <w:t>chrF++</w:t>
            </w:r>
          </w:p>
        </w:tc>
        <w:tc>
          <w:tcPr>
            <w:tcW w:type="dxa" w:w="4320"/>
          </w:tcPr>
          <w:p>
            <w:r>
              <w:t>Character n-gram F-score (word_order=2)</w:t>
            </w:r>
          </w:p>
        </w:tc>
      </w:tr>
      <w:tr>
        <w:tc>
          <w:tcPr>
            <w:tcW w:type="dxa" w:w="4320"/>
          </w:tcPr>
          <w:p>
            <w:r>
              <w:t>TER</w:t>
            </w:r>
          </w:p>
        </w:tc>
        <w:tc>
          <w:tcPr>
            <w:tcW w:type="dxa" w:w="4320"/>
          </w:tcPr>
          <w:p>
            <w:r>
              <w:t>Translation edit rate</w:t>
            </w:r>
          </w:p>
        </w:tc>
      </w:tr>
      <w:tr>
        <w:tc>
          <w:tcPr>
            <w:tcW w:type="dxa" w:w="4320"/>
          </w:tcPr>
          <w:p>
            <w:r>
              <w:t>BERTScore</w:t>
            </w:r>
          </w:p>
        </w:tc>
        <w:tc>
          <w:tcPr>
            <w:tcW w:type="dxa" w:w="4320"/>
          </w:tcPr>
          <w:p>
            <w:r>
              <w:t>Semantic similarity using DeBERTa embeddings</w:t>
            </w:r>
          </w:p>
        </w:tc>
      </w:tr>
      <w:tr>
        <w:tc>
          <w:tcPr>
            <w:tcW w:type="dxa" w:w="4320"/>
          </w:tcPr>
          <w:p>
            <w:r>
              <w:t>COMET</w:t>
            </w:r>
          </w:p>
        </w:tc>
        <w:tc>
          <w:tcPr>
            <w:tcW w:type="dxa" w:w="4320"/>
          </w:tcPr>
          <w:p>
            <w:r>
              <w:t>Neural-based quality estimation</w:t>
            </w:r>
          </w:p>
        </w:tc>
      </w:tr>
    </w:tbl>
    <w:p/>
    <w:p>
      <w:pPr>
        <w:pStyle w:val="Heading2"/>
      </w:pPr>
      <w:r>
        <w:rPr>
          <w:color w:val="070235"/>
        </w:rPr>
        <w:t>4.5 Patch for transformers Compatibility</w:t>
      </w:r>
    </w:p>
    <w:p>
      <w:pPr>
        <w:spacing w:after="120"/>
      </w:pPr>
      <w:r>
        <w:t>The Hugging Face Trainer’s accelerate wrapper injects decoder_inputs_embeds during training, which conflicts with the NLLB model’s prepare_decoder_input_ids_from_labels. A monkey-patch on Trainer._prepare_inputs strips decoder_inputs_embeds from every batch before the forward pass, preventing shape mismatches.</w:t>
      </w:r>
    </w:p>
    <w:p>
      <w:pPr>
        <w:pStyle w:val="Heading1"/>
      </w:pPr>
      <w:r>
        <w:rPr>
          <w:color w:val="070235"/>
        </w:rPr>
        <w:t>5. Results</w:t>
      </w:r>
    </w:p>
    <w:p>
      <w:pPr>
        <w:spacing w:after="120"/>
      </w:pPr>
      <w:r>
        <w:t>The final model was evaluated on the held-out test set (226 pairs, rny→en direction):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Test loss</w:t>
            </w:r>
          </w:p>
        </w:tc>
        <w:tc>
          <w:tcPr>
            <w:tcW w:type="dxa" w:w="4320"/>
          </w:tcPr>
          <w:p>
            <w:r>
              <w:t>3.988</w:t>
            </w:r>
          </w:p>
        </w:tc>
      </w:tr>
      <w:tr>
        <w:tc>
          <w:tcPr>
            <w:tcW w:type="dxa" w:w="4320"/>
          </w:tcPr>
          <w:p>
            <w:r>
              <w:t>BLEU</w:t>
            </w:r>
          </w:p>
        </w:tc>
        <w:tc>
          <w:tcPr>
            <w:tcW w:type="dxa" w:w="4320"/>
          </w:tcPr>
          <w:p>
            <w:r>
              <w:t>1.03</w:t>
            </w:r>
          </w:p>
        </w:tc>
      </w:tr>
      <w:tr>
        <w:tc>
          <w:tcPr>
            <w:tcW w:type="dxa" w:w="4320"/>
          </w:tcPr>
          <w:p>
            <w:r>
              <w:t>chrF++</w:t>
            </w:r>
          </w:p>
        </w:tc>
        <w:tc>
          <w:tcPr>
            <w:tcW w:type="dxa" w:w="4320"/>
          </w:tcPr>
          <w:p>
            <w:r>
              <w:t>10.58</w:t>
            </w:r>
          </w:p>
        </w:tc>
      </w:tr>
    </w:tbl>
    <w:p/>
    <w:p>
      <w:pPr>
        <w:spacing w:after="120"/>
      </w:pPr>
      <w:r>
        <w:t>These scores reflect the challenge of low-resource NMT with only 3,842 training pairs. For context, NLLB-200 achieves BLEU scores of 30–40 for high-resource language pairs like French→English with millions of sentences. The chrF++ score (10.58) is more informative for a low-resource Bantu language, as character-level metrics better capture the morphological richness of Runyoro-Rutooro.</w:t>
      </w:r>
    </w:p>
    <w:p>
      <w:pPr>
        <w:pStyle w:val="Heading1"/>
      </w:pPr>
      <w:r>
        <w:rPr>
          <w:color w:val="070235"/>
        </w:rPr>
        <w:t>6. Key Decisions &amp; Trade-offs</w:t>
      </w:r>
    </w:p>
    <w:p>
      <w:pPr>
        <w:spacing w:after="120"/>
      </w:pPr>
      <w:r>
        <w:t>Several design decisions were driven by the low-resource nature of Runyoro-Rutooro:</w:t>
      </w:r>
    </w:p>
    <w:p>
      <w:pPr>
        <w:pStyle w:val="ListBullet"/>
        <w:spacing w:after="40"/>
      </w:pPr>
      <w:r>
        <w:t>Proxy BOS token: Using lug_Latn (Luganda) as the forced BOS for Runyoro generation is necessary because nyk_Latn is not a valid NLLB token. Runyoro and Luganda share approximately 80% vocabulary as Ugandan Bantu languages, making this a reasonable proxy.</w:t>
      </w:r>
    </w:p>
    <w:p>
      <w:pPr>
        <w:pStyle w:val="ListBullet"/>
        <w:spacing w:after="40"/>
      </w:pPr>
      <w:r>
        <w:t>Bidirectional training: Including both translation directions doubles the effective training data without requiring additional sentence pairs.</w:t>
      </w:r>
    </w:p>
    <w:p>
      <w:pPr>
        <w:pStyle w:val="ListBullet"/>
        <w:spacing w:after="40"/>
      </w:pPr>
      <w:r>
        <w:t>Data augmentation: Token deletion and swap strategies increased the dataset by ~20%, improving model robustness to noisy input.</w:t>
      </w:r>
    </w:p>
    <w:p>
      <w:pPr>
        <w:pStyle w:val="ListBullet"/>
        <w:spacing w:after="40"/>
      </w:pPr>
      <w:r>
        <w:t>BF16 precision: Enabled larger batch sizes and faster training on RTX 4090 hardware without significant loss in model quality.</w:t>
      </w:r>
    </w:p>
    <w:p>
      <w:pPr>
        <w:pStyle w:val="ListBullet"/>
        <w:spacing w:after="40"/>
      </w:pPr>
      <w:r>
        <w:t>DataParallel over DDP: Chosen for Windows compatibility, accepting higher per-GPU memory usage in exchange for simpler setup.</w:t>
      </w:r>
    </w:p>
    <w:p>
      <w:pPr>
        <w:pStyle w:val="ListBullet"/>
        <w:spacing w:after="40"/>
      </w:pPr>
      <w:r>
        <w:t>English source validation: The validator heavily favored English-side quality checks, rejecting 3,057 of 3,485 raw pairs in the first pipeline run. The threshold was adjusted in later runs to retain more Runyoro text.</w:t>
      </w:r>
    </w:p>
    <w:p>
      <w:pPr>
        <w:pStyle w:val="Heading1"/>
      </w:pPr>
      <w:r>
        <w:rPr>
          <w:color w:val="070235"/>
        </w:rPr>
        <w:t>7. Limitations &amp; Future Work</w:t>
      </w:r>
    </w:p>
    <w:p>
      <w:pPr>
        <w:pStyle w:val="Heading2"/>
      </w:pPr>
      <w:r>
        <w:rPr>
          <w:color w:val="070235"/>
        </w:rPr>
        <w:t>7.1 Current Limitations</w:t>
      </w:r>
    </w:p>
    <w:p>
      <w:pPr>
        <w:pStyle w:val="ListBullet"/>
        <w:spacing w:after="40"/>
      </w:pPr>
      <w:r>
        <w:t>Small dataset (~3,800 pairs) limits translation quality and fluency</w:t>
      </w:r>
    </w:p>
    <w:p>
      <w:pPr>
        <w:pStyle w:val="ListBullet"/>
        <w:spacing w:after="40"/>
      </w:pPr>
      <w:r>
        <w:t>BLEU score of 1.03 indicates the model struggles with exact n-gram matching</w:t>
      </w:r>
    </w:p>
    <w:p>
      <w:pPr>
        <w:pStyle w:val="ListBullet"/>
        <w:spacing w:after="40"/>
      </w:pPr>
      <w:r>
        <w:t>Luganda BOS proxy is a compromise — the model may produce Luganda-influenced output</w:t>
      </w:r>
    </w:p>
    <w:p>
      <w:pPr>
        <w:pStyle w:val="ListBullet"/>
        <w:spacing w:after="40"/>
      </w:pPr>
      <w:r>
        <w:t>No curriculum learning used (disabled for stability on small data)</w:t>
      </w:r>
    </w:p>
    <w:p>
      <w:pPr>
        <w:pStyle w:val="ListBullet"/>
        <w:spacing w:after="40"/>
      </w:pPr>
      <w:r>
        <w:t>The second training run (4,520 augmented pairs) was interrupted and did not complete</w:t>
      </w:r>
    </w:p>
    <w:p>
      <w:pPr>
        <w:pStyle w:val="Heading2"/>
      </w:pPr>
      <w:r>
        <w:rPr>
          <w:color w:val="070235"/>
        </w:rPr>
        <w:t>7.2 Recommended Improvements</w:t>
      </w:r>
    </w:p>
    <w:p>
      <w:pPr>
        <w:pStyle w:val="ListBullet"/>
        <w:spacing w:after="40"/>
      </w:pPr>
      <w:r>
        <w:t>Complete the interrupted training run with 4,520 augmented pairs for better coverage</w:t>
      </w:r>
    </w:p>
    <w:p>
      <w:pPr>
        <w:pStyle w:val="ListBullet"/>
        <w:spacing w:after="40"/>
      </w:pPr>
      <w:r>
        <w:t>Add back-translation from monolingual Runyoro text (e.g., web-crawled or biblical texts) to create synthetic parallel data</w:t>
      </w:r>
    </w:p>
    <w:p>
      <w:pPr>
        <w:pStyle w:val="ListBullet"/>
        <w:spacing w:after="40"/>
      </w:pPr>
      <w:r>
        <w:t>Add nyk_Latn as a new special token to the NLLB tokenizer to remove the Luganda proxy dependency</w:t>
      </w:r>
    </w:p>
    <w:p>
      <w:pPr>
        <w:pStyle w:val="ListBullet"/>
        <w:spacing w:after="40"/>
      </w:pPr>
      <w:r>
        <w:t>Implement curriculum learning (start with short sentences, gradually increase length) to improve stability on noisy data</w:t>
      </w:r>
    </w:p>
    <w:p>
      <w:pPr>
        <w:pStyle w:val="ListBullet"/>
        <w:spacing w:after="40"/>
      </w:pPr>
      <w:r>
        <w:t>Human evaluation (fluency, adequacy, cultural appropriateness) for proper quality assessment</w:t>
      </w:r>
    </w:p>
    <w:p>
      <w:pPr>
        <w:pStyle w:val="ListBullet"/>
        <w:spacing w:after="40"/>
      </w:pPr>
      <w:r>
        <w:t>Deploy with INT8 quantisation or ONNX export for edge/Raspberry Pi deployment</w:t>
      </w:r>
    </w:p>
    <w:p>
      <w:pPr>
        <w:pStyle w:val="Heading1"/>
      </w:pPr>
      <w:r>
        <w:rPr>
          <w:color w:val="070235"/>
        </w:rPr>
        <w:t>8. Deployment</w:t>
      </w:r>
    </w:p>
    <w:p>
      <w:pPr>
        <w:spacing w:after="120"/>
      </w:pPr>
      <w:r>
        <w:t>The trained model is deployed via two interfaces:</w:t>
      </w:r>
    </w:p>
    <w:p>
      <w:pPr>
        <w:pStyle w:val="Heading2"/>
      </w:pPr>
      <w:r>
        <w:rPr>
          <w:color w:val="070235"/>
        </w:rPr>
        <w:t>8.1 Next.js Web Portal (Production)</w:t>
      </w:r>
    </w:p>
    <w:p>
      <w:pPr>
        <w:spacing w:after="120"/>
      </w:pPr>
      <w:r>
        <w:t>A full-featured web application running at http://localhost:3000 with:</w:t>
      </w:r>
    </w:p>
    <w:p>
      <w:pPr>
        <w:pStyle w:val="ListBullet"/>
        <w:spacing w:after="40"/>
      </w:pPr>
      <w:r>
        <w:t>Home dashboard with recent activity</w:t>
      </w:r>
    </w:p>
    <w:p>
      <w:pPr>
        <w:pStyle w:val="ListBullet"/>
        <w:spacing w:after="40"/>
      </w:pPr>
      <w:r>
        <w:t>Bidirectional translator (connects to the Python model server)</w:t>
      </w:r>
    </w:p>
    <w:p>
      <w:pPr>
        <w:pStyle w:val="ListBullet"/>
        <w:spacing w:after="40"/>
      </w:pPr>
      <w:r>
        <w:t>AI chat with translation context</w:t>
      </w:r>
    </w:p>
    <w:p>
      <w:pPr>
        <w:pStyle w:val="ListBullet"/>
        <w:spacing w:after="40"/>
      </w:pPr>
      <w:r>
        <w:t>Document editor with Runyoro spellcheck support</w:t>
      </w:r>
    </w:p>
    <w:p>
      <w:pPr>
        <w:pStyle w:val="ListBullet"/>
        <w:spacing w:after="40"/>
      </w:pPr>
      <w:r>
        <w:t>Responsive design with Material Symbols icons</w:t>
      </w:r>
    </w:p>
    <w:p>
      <w:pPr>
        <w:pStyle w:val="Heading2"/>
      </w:pPr>
      <w:r>
        <w:rPr>
          <w:color w:val="070235"/>
        </w:rPr>
        <w:t>8.2 Python Model Server (Inference)</w:t>
      </w:r>
    </w:p>
    <w:p>
      <w:pPr>
        <w:spacing w:after="120"/>
      </w:pPr>
      <w:r>
        <w:t>A FastAPI server (port 8000) that loads the fine-tuned checkpoint and serves translations:</w:t>
      </w:r>
    </w:p>
    <w:p>
      <w:pPr>
        <w:pStyle w:val="ListBullet"/>
        <w:spacing w:after="40"/>
      </w:pPr>
      <w:r>
        <w:t>Endpoint: POST /translate (body: {text, direction})</w:t>
      </w:r>
    </w:p>
    <w:p>
      <w:pPr>
        <w:pStyle w:val="ListBullet"/>
        <w:spacing w:after="40"/>
      </w:pPr>
      <w:r>
        <w:t>Endpoint: GET /health (health check)</w:t>
      </w:r>
    </w:p>
    <w:p>
      <w:pPr>
        <w:pStyle w:val="ListBullet"/>
        <w:spacing w:after="40"/>
      </w:pPr>
      <w:r>
        <w:t>Runs on CUDA with bfloat16 inference</w:t>
      </w:r>
    </w:p>
    <w:p>
      <w:pPr>
        <w:pStyle w:val="ListBullet"/>
        <w:spacing w:after="40"/>
      </w:pPr>
      <w:r>
        <w:t>Beam search with 4 beams and length penalty 1.0</w:t>
      </w:r>
    </w:p>
    <w:p>
      <w:pPr>
        <w:pStyle w:val="Heading2"/>
      </w:pPr>
      <w:r>
        <w:rPr>
          <w:color w:val="070235"/>
        </w:rPr>
        <w:t>8.3 Hugging Face Integration</w:t>
      </w:r>
    </w:p>
    <w:p>
      <w:pPr>
        <w:spacing w:after="120"/>
      </w:pPr>
      <w:r>
        <w:t>The model is published on Hugging Face Hub at https://huggingface.co/kathay/runyoro-nmt-v1 with a Gradio Space demo at https://huggingface.co/spaces/kathay/runyoro-translator.</w:t>
      </w:r>
    </w:p>
    <w:p>
      <w:pPr>
        <w:pStyle w:val="Heading1"/>
      </w:pPr>
      <w:r>
        <w:rPr>
          <w:color w:val="070235"/>
        </w:rPr>
        <w:t>9. Conclusion</w:t>
      </w:r>
    </w:p>
    <w:p>
      <w:pPr>
        <w:spacing w:after="120"/>
      </w:pPr>
      <w:r>
        <w:t>runyoro-nmt-v1 represents a first step toward machine translation for Runyoro-Rutooro, a low-resource Bantu language with under 1 million speakers. Despite the limited training data, the model successfully demonstrates bidirectional translation capability. The project establishes a complete pipeline from raw bilingual documents to a deployed web application, including data extraction, validation, augmentation, fine-tuning, and production serving. Future work with larger datasets and improved tokenisation will substantially improve translation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