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EF-02</w:t>
      </w:r>
    </w:p>
    <w:p>
      <w:pPr>
        <w:spacing w:after="120" w:before="0"/>
        <w:jc w:val="center"/>
      </w:pPr>
      <w:r>
        <w:rPr>
          <w:rFonts w:ascii="Arial" w:cs="Arial" w:eastAsia="Arial" w:hAnsi="Arial"/>
          <w:b/>
          <w:bCs/>
          <w:color w:val="1F4E79"/>
          <w:sz w:val="40"/>
          <w:szCs w:val="40"/>
        </w:rPr>
        <w:t xml:space="preserve">Financial News Sentiment Analyser for Economic Forecasting</w:t>
      </w:r>
    </w:p>
    <w:p>
      <w:pPr>
        <w:spacing w:after="60" w:before="0"/>
        <w:jc w:val="center"/>
      </w:pPr>
      <w:r>
        <w:rPr>
          <w:rFonts w:ascii="Arial" w:cs="Arial" w:eastAsia="Arial" w:hAnsi="Arial"/>
          <w:color w:val="555555"/>
          <w:sz w:val="20"/>
          <w:szCs w:val="20"/>
        </w:rPr>
        <w:t xml:space="preserve">Tanzania Financial Sector Projects  |  BSc DSAI  |  2025/2026</w:t>
      </w:r>
    </w:p>
    <w:p>
      <w:pPr>
        <w:spacing w:after="400" w:before="0"/>
        <w:jc w:val="center"/>
      </w:pPr>
      <w:r>
        <w:rPr>
          <w:rFonts w:ascii="Arial" w:cs="Arial" w:eastAsia="Arial" w:hAnsi="Arial"/>
          <w:i/>
          <w:iCs/>
          <w:color w:val="2E74B5"/>
          <w:sz w:val="22"/>
          <w:szCs w:val="22"/>
        </w:rPr>
        <w:t xml:space="preserve">Project Progress &amp; Methodology Report</w:t>
      </w:r>
    </w:p>
    <w:p>
      <w:pPr>
        <w:pStyle w:val="Heading1"/>
        <w:pBdr>
          <w:bottom w:val="single" w:color="1F4E79" w:sz="6" w:space="1"/>
        </w:pBdr>
        <w:spacing w:after="160" w:before="320"/>
      </w:pPr>
      <w:r>
        <w:rPr>
          <w:rFonts w:ascii="Arial" w:cs="Arial" w:eastAsia="Arial" w:hAnsi="Arial"/>
          <w:b/>
          <w:bCs/>
          <w:color w:val="1F4E79"/>
          <w:sz w:val="28"/>
          <w:szCs w:val="28"/>
        </w:rPr>
        <w:t xml:space="preserve">1. Project Objective</w:t>
      </w:r>
    </w:p>
    <w:p>
      <w:pPr>
        <w:spacing w:after="100" w:before="60"/>
      </w:pPr>
      <w:r>
        <w:rPr>
          <w:rFonts w:ascii="Arial" w:cs="Arial" w:eastAsia="Arial" w:hAnsi="Arial"/>
          <w:sz w:val="22"/>
          <w:szCs w:val="22"/>
        </w:rPr>
        <w:t xml:space="preserve">This project aims to collect and classify Tanzanian financial news headlines from sources such as The Citizen, Daily News, and IPP Media as Positive, Negative, or Neutral — then analyse how media sentiment correlates with movements in TZS inflation and USD/TZS exchange rates.</w:t>
      </w:r>
    </w:p>
    <w:p>
      <w:pPr>
        <w:spacing w:after="60" w:before="60"/>
      </w:pPr>
      <w:r>
        <w:t xml:space="preserve"/>
      </w:r>
    </w:p>
    <w:p>
      <w:pPr>
        <w:spacing w:after="100" w:before="60"/>
      </w:pPr>
      <w:r>
        <w:rPr>
          <w:rFonts w:ascii="Arial" w:cs="Arial" w:eastAsia="Arial" w:hAnsi="Arial"/>
          <w:sz w:val="22"/>
          <w:szCs w:val="22"/>
        </w:rPr>
        <w:t xml:space="preserve">The long-term goal is to build a pipeline that classifies real-world news at scale and correlates sentiment trends with Tanzania's macroeconomic indicators, providing a data-driven lens on how media tone relates to economic conditions in East Africa.</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2. Dataset</w:t>
      </w:r>
    </w:p>
    <w:p>
      <w:pPr>
        <w:spacing w:after="100" w:before="60"/>
      </w:pPr>
      <w:r>
        <w:rPr>
          <w:rFonts w:ascii="Arial" w:cs="Arial" w:eastAsia="Arial" w:hAnsi="Arial"/>
          <w:sz w:val="22"/>
          <w:szCs w:val="22"/>
        </w:rPr>
        <w:t xml:space="preserve">The dataset used for this phase is a synthetic sample of 500+ Tanzanian financial news headlines covering the period 2022–2024, sourced from the project brief (tz_financial_headlines.csv). Each record contains: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Date of publication</w:t>
      </w:r>
    </w:p>
    <w:p>
      <w:pPr>
        <w:pStyle w:val="ListParagraph"/>
        <w:numPr>
          <w:ilvl w:val="0"/>
          <w:numId w:val="2"/>
        </w:numPr>
        <w:spacing w:after="40" w:before="40"/>
      </w:pPr>
      <w:r>
        <w:rPr>
          <w:rFonts w:ascii="Arial" w:cs="Arial" w:eastAsia="Arial" w:hAnsi="Arial"/>
          <w:sz w:val="22"/>
          <w:szCs w:val="22"/>
        </w:rPr>
        <w:t xml:space="preserve">Headline text</w:t>
      </w:r>
    </w:p>
    <w:p>
      <w:pPr>
        <w:pStyle w:val="ListParagraph"/>
        <w:numPr>
          <w:ilvl w:val="0"/>
          <w:numId w:val="2"/>
        </w:numPr>
        <w:spacing w:after="40" w:before="40"/>
      </w:pPr>
      <w:r>
        <w:rPr>
          <w:rFonts w:ascii="Arial" w:cs="Arial" w:eastAsia="Arial" w:hAnsi="Arial"/>
          <w:sz w:val="22"/>
          <w:szCs w:val="22"/>
        </w:rPr>
        <w:t xml:space="preserve">Source outlet (The Citizen, Daily News, IPP Media)</w:t>
      </w:r>
    </w:p>
    <w:p>
      <w:pPr>
        <w:pStyle w:val="ListParagraph"/>
        <w:numPr>
          <w:ilvl w:val="0"/>
          <w:numId w:val="2"/>
        </w:numPr>
        <w:spacing w:after="40" w:before="40"/>
      </w:pPr>
      <w:r>
        <w:rPr>
          <w:rFonts w:ascii="Arial" w:cs="Arial" w:eastAsia="Arial" w:hAnsi="Arial"/>
          <w:sz w:val="22"/>
          <w:szCs w:val="22"/>
        </w:rPr>
        <w:t xml:space="preserve">Category (Policy, Forex, Fintech, etc.)</w:t>
      </w:r>
    </w:p>
    <w:p>
      <w:pPr>
        <w:pStyle w:val="ListParagraph"/>
        <w:numPr>
          <w:ilvl w:val="0"/>
          <w:numId w:val="2"/>
        </w:numPr>
        <w:spacing w:after="40" w:before="40"/>
      </w:pPr>
      <w:r>
        <w:rPr>
          <w:rFonts w:ascii="Arial" w:cs="Arial" w:eastAsia="Arial" w:hAnsi="Arial"/>
          <w:sz w:val="22"/>
          <w:szCs w:val="22"/>
        </w:rPr>
        <w:t xml:space="preserve">Pre-labelled sentiment (Positive / Negative / Neutral) — used as ground truth for accuracy evaluation</w:t>
      </w:r>
    </w:p>
    <w:p>
      <w:pPr>
        <w:spacing w:after="60" w:before="60"/>
      </w:pPr>
      <w:r>
        <w:t xml:space="preserve"/>
      </w:r>
    </w:p>
    <w:p>
      <w:pPr>
        <w:spacing w:after="100" w:before="60"/>
      </w:pPr>
      <w:r>
        <w:rPr>
          <w:rFonts w:ascii="Arial" w:cs="Arial" w:eastAsia="Arial" w:hAnsi="Arial"/>
          <w:i/>
          <w:iCs/>
          <w:color w:val="555555"/>
          <w:sz w:val="22"/>
          <w:szCs w:val="22"/>
        </w:rPr>
        <w:t xml:space="preserve">Note: The ground truth labels were AI-generated for testing purposes, meaning accuracy figures reflect alignment with those reference labels rather than a human-annotated gold standard. This is an important caveat when interpreting results.</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3. Model Evaluation &amp; Progression</w:t>
      </w:r>
    </w:p>
    <w:p>
      <w:pPr>
        <w:pStyle w:val="Heading2"/>
        <w:spacing w:after="120" w:before="240"/>
      </w:pPr>
      <w:r>
        <w:rPr>
          <w:rFonts w:ascii="Arial" w:cs="Arial" w:eastAsia="Arial" w:hAnsi="Arial"/>
          <w:b/>
          <w:bCs/>
          <w:color w:val="2E74B5"/>
          <w:sz w:val="24"/>
          <w:szCs w:val="24"/>
        </w:rPr>
        <w:t xml:space="preserve">3.1 Phase 1 — Off-the-shelf NLP Models</w:t>
      </w:r>
    </w:p>
    <w:p>
      <w:pPr>
        <w:spacing w:after="100" w:before="60"/>
      </w:pPr>
      <w:r>
        <w:rPr>
          <w:rFonts w:ascii="Arial" w:cs="Arial" w:eastAsia="Arial" w:hAnsi="Arial"/>
          <w:sz w:val="22"/>
          <w:szCs w:val="22"/>
        </w:rPr>
        <w:t xml:space="preserve">The project began with three commonly used NLP sentiment tools, all applied using a zero-shot approach with no domain customisation: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c>
          <w:tcPr>
            <w:tcW w:type="dxa" w:w="4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Why It Failed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TextBlob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28.17%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General-purpose polarity model trained on reviews/social media. Has no understanding of financial or economic language — treats neutral headlines as negative due to surface-level word associations.</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VADER</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50.00%</w:t>
            </w:r>
          </w:p>
        </w:tc>
        <w:tc>
          <w:tcPr>
            <w:tcW w:type="dxa" w:w="4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Rule-based model designed for social media sentiment. Performs at near chance level on structured financial language where tone is implied rather than stated directly.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FinBERT (ProsusAI)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66.67%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Finance-specific BERT model — the best of Phase 1. However, trained predominantly on Western financial text (SEC filings, Bloomberg). Struggles with East African economic context, local terminology, and Tanzanian policy language.</w:t>
            </w:r>
          </w:p>
        </w:tc>
      </w:tr>
    </w:tbl>
    <w:p>
      <w:pPr>
        <w:spacing w:after="60" w:before="60"/>
      </w:pPr>
      <w:r>
        <w:t xml:space="preserve"/>
      </w:r>
    </w:p>
    <w:p>
      <w:pPr>
        <w:spacing w:after="100" w:before="60"/>
      </w:pPr>
      <w:r>
        <w:rPr>
          <w:rFonts w:ascii="Arial" w:cs="Arial" w:eastAsia="Arial" w:hAnsi="Arial"/>
          <w:sz w:val="22"/>
          <w:szCs w:val="22"/>
        </w:rPr>
        <w:t xml:space="preserve">Key observation: All three models failed to classify by implied economic outcome. They defaulted to surface-level word tone, which is insufficient for financial headlines where a factually neutral statement can carry strong positive or negative economic implications.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3.2 Phase 2 — Large Language Models with Prompt Engineering</w:t>
      </w:r>
    </w:p>
    <w:p>
      <w:pPr>
        <w:spacing w:after="100" w:before="60"/>
      </w:pPr>
      <w:r>
        <w:rPr>
          <w:rFonts w:ascii="Arial" w:cs="Arial" w:eastAsia="Arial" w:hAnsi="Arial"/>
          <w:sz w:val="22"/>
          <w:szCs w:val="22"/>
        </w:rPr>
        <w:t xml:space="preserve">Phase 2 moved to instruction-following LLMs, starting with OpenAI's GPT-4o-mini. Rather than relying on the model's default understanding, a custom system prompt was engineered to reframe the classification task: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Classify by implied economic outcome, not emotional tone</w:t>
      </w:r>
    </w:p>
    <w:p>
      <w:pPr>
        <w:pStyle w:val="ListParagraph"/>
        <w:numPr>
          <w:ilvl w:val="0"/>
          <w:numId w:val="2"/>
        </w:numPr>
        <w:spacing w:after="40" w:before="40"/>
      </w:pPr>
      <w:r>
        <w:rPr>
          <w:rFonts w:ascii="Arial" w:cs="Arial" w:eastAsia="Arial" w:hAnsi="Arial"/>
          <w:sz w:val="22"/>
          <w:szCs w:val="22"/>
        </w:rPr>
        <w:t xml:space="preserve">Explicit rules for edge cases: inflation below target, Bank of Tanzania (BoT) announcements, rate hikes with stable outcomes</w:t>
      </w:r>
    </w:p>
    <w:p>
      <w:pPr>
        <w:pStyle w:val="ListParagraph"/>
        <w:numPr>
          <w:ilvl w:val="0"/>
          <w:numId w:val="2"/>
        </w:numPr>
        <w:spacing w:after="40" w:before="40"/>
      </w:pPr>
      <w:r>
        <w:rPr>
          <w:rFonts w:ascii="Arial" w:cs="Arial" w:eastAsia="Arial" w:hAnsi="Arial"/>
          <w:sz w:val="22"/>
          <w:szCs w:val="22"/>
        </w:rPr>
        <w:t xml:space="preserve">Iterative prompt refinement based on error pattern analysis — the model was initially defaulting to Neutral on contextually positive/negative headlines</w:t>
      </w:r>
    </w:p>
    <w:p>
      <w:pPr>
        <w:spacing w:after="60" w:before="60"/>
      </w:pPr>
      <w:r>
        <w:t xml:space="preserve"/>
      </w:r>
    </w:p>
    <w:p>
      <w:pPr>
        <w:spacing w:after="100" w:before="60"/>
      </w:pPr>
      <w:r>
        <w:rPr>
          <w:rFonts w:ascii="Arial" w:cs="Arial" w:eastAsia="Arial" w:hAnsi="Arial"/>
          <w:sz w:val="22"/>
          <w:szCs w:val="22"/>
        </w:rPr>
        <w:t xml:space="preserve">Batching was implemented at 25 headlines per request for scalability, with index alignment protection and retry logic to handle validation failures.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GPT-4o-mini (OpenAI)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92.86%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Best overall. Strong instruction-following and contextual understanding. Remaining ~8% errors are on genuinely ambiguous headlines.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Llama 3.3 70B Versatile (Groq)</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92.26%</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Within 0.6% of GPT-4o-mini. Strong nuanced understanding on a fully open-source model.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Llama 3.1 8B Instant (Groq)</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91.87%</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Smallest model tested. Within 1% of GPT-4o-mini at significantly lower resource cost. Highly efficient for this task.</w:t>
            </w:r>
          </w:p>
        </w:tc>
      </w:tr>
    </w:tbl>
    <w:p>
      <w:pPr>
        <w:spacing w:after="60" w:before="60"/>
      </w:pPr>
      <w:r>
        <w:t xml:space="preserve"/>
      </w:r>
    </w:p>
    <w:p>
      <w:pPr>
        <w:spacing w:after="100" w:before="60"/>
      </w:pPr>
      <w:r>
        <w:rPr>
          <w:rFonts w:ascii="Arial" w:cs="Arial" w:eastAsia="Arial" w:hAnsi="Arial"/>
          <w:sz w:val="22"/>
          <w:szCs w:val="22"/>
        </w:rPr>
        <w:t xml:space="preserve">The accuracy gap between Phase 1 and Phase 2 — from 28–67% to 91–93% — is entirely attributable to prompt engineering rather than model scale alone. The same contextual classification logic drove all three LLMs to similar performance.</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4. Prompt Engineering Strategy</w:t>
      </w:r>
    </w:p>
    <w:p>
      <w:pPr>
        <w:spacing w:after="100" w:before="60"/>
      </w:pPr>
      <w:r>
        <w:rPr>
          <w:rFonts w:ascii="Arial" w:cs="Arial" w:eastAsia="Arial" w:hAnsi="Arial"/>
          <w:sz w:val="22"/>
          <w:szCs w:val="22"/>
        </w:rPr>
        <w:t xml:space="preserve">The system prompt was the primary driver of accuracy improvement. The core insight was that financial sentiment classification requires economic reasoning, not linguistic polarity detection. The prompt instructs the model to:</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Classify as: </w:t>
      </w:r>
      <w:r>
        <w:rPr>
          <w:rFonts w:ascii="Arial" w:cs="Arial" w:eastAsia="Arial" w:hAnsi="Arial"/>
          <w:sz w:val="22"/>
          <w:szCs w:val="22"/>
        </w:rPr>
        <w:t xml:space="preserve">Positive</w:t>
      </w:r>
    </w:p>
    <w:p>
      <w:pPr>
        <w:pStyle w:val="ListParagraph"/>
        <w:numPr>
          <w:ilvl w:val="0"/>
          <w:numId w:val="2"/>
        </w:numPr>
        <w:spacing w:after="20" w:before="20"/>
        <w:ind w:left="1080"/>
      </w:pPr>
      <w:r>
        <w:rPr>
          <w:rFonts w:ascii="Arial" w:cs="Arial" w:eastAsia="Arial" w:hAnsi="Arial"/>
          <w:sz w:val="22"/>
          <w:szCs w:val="22"/>
        </w:rPr>
        <w:t xml:space="preserve">Headlines implying growth, stability, investment, improved consumer conditions, or increased business activity</w:t>
      </w:r>
    </w:p>
    <w:p>
      <w:pPr>
        <w:pStyle w:val="ListParagraph"/>
        <w:numPr>
          <w:ilvl w:val="0"/>
          <w:numId w:val="2"/>
        </w:numPr>
        <w:spacing w:after="40" w:before="40"/>
      </w:pPr>
      <w:r>
        <w:rPr>
          <w:rFonts w:ascii="Arial" w:cs="Arial" w:eastAsia="Arial" w:hAnsi="Arial"/>
          <w:b/>
          <w:bCs/>
          <w:sz w:val="22"/>
          <w:szCs w:val="22"/>
        </w:rPr>
        <w:t xml:space="preserve">Classify as: </w:t>
      </w:r>
      <w:r>
        <w:rPr>
          <w:rFonts w:ascii="Arial" w:cs="Arial" w:eastAsia="Arial" w:hAnsi="Arial"/>
          <w:sz w:val="22"/>
          <w:szCs w:val="22"/>
        </w:rPr>
        <w:t xml:space="preserve">Negative</w:t>
      </w:r>
    </w:p>
    <w:p>
      <w:pPr>
        <w:pStyle w:val="ListParagraph"/>
        <w:numPr>
          <w:ilvl w:val="0"/>
          <w:numId w:val="2"/>
        </w:numPr>
        <w:spacing w:after="20" w:before="20"/>
        <w:ind w:left="1080"/>
      </w:pPr>
      <w:r>
        <w:rPr>
          <w:rFonts w:ascii="Arial" w:cs="Arial" w:eastAsia="Arial" w:hAnsi="Arial"/>
          <w:sz w:val="22"/>
          <w:szCs w:val="22"/>
        </w:rPr>
        <w:t xml:space="preserve">Headlines implying economic deterioration, currency weakness, inflation pressure, or declining conditions</w:t>
      </w:r>
    </w:p>
    <w:p>
      <w:pPr>
        <w:pStyle w:val="ListParagraph"/>
        <w:numPr>
          <w:ilvl w:val="0"/>
          <w:numId w:val="2"/>
        </w:numPr>
        <w:spacing w:after="40" w:before="40"/>
      </w:pPr>
      <w:r>
        <w:rPr>
          <w:rFonts w:ascii="Arial" w:cs="Arial" w:eastAsia="Arial" w:hAnsi="Arial"/>
          <w:b/>
          <w:bCs/>
          <w:sz w:val="22"/>
          <w:szCs w:val="22"/>
        </w:rPr>
        <w:t xml:space="preserve">Classify as: </w:t>
      </w:r>
      <w:r>
        <w:rPr>
          <w:rFonts w:ascii="Arial" w:cs="Arial" w:eastAsia="Arial" w:hAnsi="Arial"/>
          <w:sz w:val="22"/>
          <w:szCs w:val="22"/>
        </w:rPr>
        <w:t xml:space="preserve">Neutral</w:t>
      </w:r>
    </w:p>
    <w:p>
      <w:pPr>
        <w:pStyle w:val="ListParagraph"/>
        <w:numPr>
          <w:ilvl w:val="0"/>
          <w:numId w:val="2"/>
        </w:numPr>
        <w:spacing w:after="20" w:before="20"/>
        <w:ind w:left="1080"/>
      </w:pPr>
      <w:r>
        <w:rPr>
          <w:rFonts w:ascii="Arial" w:cs="Arial" w:eastAsia="Arial" w:hAnsi="Arial"/>
          <w:sz w:val="22"/>
          <w:szCs w:val="22"/>
        </w:rPr>
        <w:t xml:space="preserve">Purely informational announcements, budget approvals, or policy updates with no directional economic signal</w:t>
      </w:r>
    </w:p>
    <w:p>
      <w:pPr>
        <w:spacing w:after="60" w:before="60"/>
      </w:pPr>
      <w:r>
        <w:t xml:space="preserve"/>
      </w:r>
    </w:p>
    <w:p>
      <w:pPr>
        <w:spacing w:after="100" w:before="60"/>
      </w:pPr>
      <w:r>
        <w:rPr>
          <w:rFonts w:ascii="Arial" w:cs="Arial" w:eastAsia="Arial" w:hAnsi="Arial"/>
          <w:sz w:val="22"/>
          <w:szCs w:val="22"/>
        </w:rPr>
        <w:t xml:space="preserve">Two prompt iterations were required. The key fix in iteration 2 was adding explicit edge case rules — particularly around BoT policy announcements and inflation scenarios — where the model had been systematically defaulting to Neutral.</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5. API Infrastructure &amp; Hosting Choices</w:t>
      </w:r>
    </w:p>
    <w:p>
      <w:pPr>
        <w:pStyle w:val="Heading2"/>
        <w:spacing w:after="120" w:before="240"/>
      </w:pPr>
      <w:r>
        <w:rPr>
          <w:rFonts w:ascii="Arial" w:cs="Arial" w:eastAsia="Arial" w:hAnsi="Arial"/>
          <w:b/>
          <w:bCs/>
          <w:color w:val="2E74B5"/>
          <w:sz w:val="24"/>
          <w:szCs w:val="24"/>
        </w:rPr>
        <w:t xml:space="preserve">5.1 Hosting Options Evaluated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c>
          <w:tcPr>
            <w:tcW w:type="dxa" w:w="24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Pros</w:t>
            </w:r>
          </w:p>
        </w:tc>
        <w:tc>
          <w:tcPr>
            <w:tcW w:type="dxa" w:w="24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Cloud API (used)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OpenAI, Groq</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local setup, scalable, latest models, pay-per-use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Ongoing cost at scale, internet dependency, data leaves device</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Local installation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Ollama, LM Studio</w:t>
            </w:r>
          </w:p>
        </w:tc>
        <w:tc>
          <w:tcPr>
            <w:tcW w:type="dxa" w:w="24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Free after setup, private, no rate limits</w:t>
            </w:r>
          </w:p>
        </w:tc>
        <w:tc>
          <w:tcPr>
            <w:tcW w:type="dxa" w:w="24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Disk space (4–40GB+), RAM/GPU requirements, setup overhead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Hosted open-source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Hugging Face Inference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tier available, no local install</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Rate limited, slower, weaker instruction-following</w:t>
            </w:r>
          </w:p>
        </w:tc>
      </w:tr>
    </w:tbl>
    <w:p>
      <w:pPr>
        <w:spacing w:after="60" w:before="60"/>
      </w:pPr>
      <w:r>
        <w:t xml:space="preserve"/>
      </w:r>
    </w:p>
    <w:p>
      <w:pPr>
        <w:pStyle w:val="Heading2"/>
        <w:spacing w:after="120" w:before="240"/>
      </w:pPr>
      <w:r>
        <w:rPr>
          <w:rFonts w:ascii="Arial" w:cs="Arial" w:eastAsia="Arial" w:hAnsi="Arial"/>
          <w:b/>
          <w:bCs/>
          <w:color w:val="2E74B5"/>
          <w:sz w:val="24"/>
          <w:szCs w:val="24"/>
        </w:rPr>
        <w:t xml:space="preserve">5.2 Decision: Test on Cloud First, Download Only if Justified</w:t>
      </w:r>
    </w:p>
    <w:p>
      <w:pPr>
        <w:spacing w:after="100" w:before="60"/>
      </w:pPr>
      <w:r>
        <w:rPr>
          <w:rFonts w:ascii="Arial" w:cs="Arial" w:eastAsia="Arial" w:hAnsi="Arial"/>
          <w:sz w:val="22"/>
          <w:szCs w:val="22"/>
        </w:rPr>
        <w:t xml:space="preserve">The approach taken was to evaluate open-source models (Llama) on Groq's cloud infrastructure before committing to local installation. This avoided wasting disk space and RAM on models that might not meet accuracy requirements.</w:t>
      </w:r>
    </w:p>
    <w:p>
      <w:pPr>
        <w:spacing w:after="60" w:before="60"/>
      </w:pPr>
      <w:r>
        <w:t xml:space="preserve"/>
      </w:r>
    </w:p>
    <w:p>
      <w:pPr>
        <w:spacing w:after="100" w:before="60"/>
      </w:pPr>
      <w:r>
        <w:rPr>
          <w:rFonts w:ascii="Arial" w:cs="Arial" w:eastAsia="Arial" w:hAnsi="Arial"/>
          <w:sz w:val="22"/>
          <w:szCs w:val="22"/>
        </w:rPr>
        <w:t xml:space="preserve">Since all three cloud-tested models hit 91–93% accuracy, the conclusion is that cloud APIs remain the appropriate choice for the current research phase. Local installation would only be justified 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Processing volume exceeds Groq's free tier daily limits (1,000 requests/day for 70B, 14,400/day for 8B)</w:t>
      </w:r>
    </w:p>
    <w:p>
      <w:pPr>
        <w:pStyle w:val="ListParagraph"/>
        <w:numPr>
          <w:ilvl w:val="0"/>
          <w:numId w:val="2"/>
        </w:numPr>
        <w:spacing w:after="40" w:before="40"/>
      </w:pPr>
      <w:r>
        <w:rPr>
          <w:rFonts w:ascii="Arial" w:cs="Arial" w:eastAsia="Arial" w:hAnsi="Arial"/>
          <w:sz w:val="22"/>
          <w:szCs w:val="22"/>
        </w:rPr>
        <w:t xml:space="preserve">Data privacy requirements prohibit sending headlines to external APIs</w:t>
      </w:r>
    </w:p>
    <w:p>
      <w:pPr>
        <w:pStyle w:val="ListParagraph"/>
        <w:numPr>
          <w:ilvl w:val="0"/>
          <w:numId w:val="2"/>
        </w:numPr>
        <w:spacing w:after="40" w:before="40"/>
      </w:pPr>
      <w:r>
        <w:rPr>
          <w:rFonts w:ascii="Arial" w:cs="Arial" w:eastAsia="Arial" w:hAnsi="Arial"/>
          <w:sz w:val="22"/>
          <w:szCs w:val="22"/>
        </w:rPr>
        <w:t xml:space="preserve">Cost at production scale becomes prohibitive</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5.3 Groq Free Tier — Current Limits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Limit Type</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 on This Project</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Threshold for Concern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Requests per minute (RPM)</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 batch requests/min at current batch size — well within limit</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 concurrent requests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Tokens per minute (TPM)</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6,000</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~600 tokens/batch — 10 batches/min max; 500 headlines complete in ~2 minutes</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Large context prompts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Requests per day (RPD)</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1,000 (70B) / 14,400 (8B)</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500 headlines = 20 requests — negligible usage</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Tens of thousands of headlines/day</w:t>
            </w:r>
          </w:p>
        </w:tc>
      </w:tr>
    </w:tbl>
    <w:p>
      <w:pPr>
        <w:spacing w:after="60" w:before="60"/>
      </w:pPr>
      <w:r>
        <w:t xml:space="preserve"/>
      </w:r>
    </w:p>
    <w:p>
      <w:pPr>
        <w:spacing w:after="100" w:before="60"/>
      </w:pPr>
      <w:r>
        <w:rPr>
          <w:rFonts w:ascii="Arial" w:cs="Arial" w:eastAsia="Arial" w:hAnsi="Arial"/>
          <w:sz w:val="22"/>
          <w:szCs w:val="22"/>
        </w:rPr>
        <w:t xml:space="preserve">Groq does not charge on the free tier — if limits are exceeded, requests are rejected with a 429 error until the window resets. No surprise billing.</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6. Cost Considerations</w:t>
      </w:r>
    </w:p>
    <w:p>
      <w:pPr>
        <w:spacing w:after="100" w:before="60"/>
      </w:pPr>
      <w:r>
        <w:rPr>
          <w:rFonts w:ascii="Arial" w:cs="Arial" w:eastAsia="Arial" w:hAnsi="Arial"/>
          <w:sz w:val="22"/>
          <w:szCs w:val="22"/>
        </w:rPr>
        <w:t xml:space="preserve">At current research scale (500 headlines), API costs are negligible. The comparison becomes relevant as the project scales toward real-world news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324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Input (per 1M tokens)</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 (per 1M tokens)</w:t>
            </w:r>
          </w:p>
        </w:tc>
        <w:tc>
          <w:tcPr>
            <w:tcW w:type="dxa" w:w="3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Estimated cost for 10,000 headlines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GPT-4o-mini (OpenAI)</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$0.15</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$0.60</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~$0.15–0.25</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Llama 3.3 70B (Groq paid)</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$0.59</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$0.79</w:t>
            </w:r>
          </w:p>
        </w:tc>
        <w:tc>
          <w:tcPr>
            <w:tcW w:type="dxa" w:w="3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~$0.50–0.80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Llama 3.1 8B (Groq paid)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$0.05</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$0.08</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~$0.05–0.08</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Groq free tier</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$0.00</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$0.00</w:t>
            </w:r>
          </w:p>
        </w:tc>
        <w:tc>
          <w:tcPr>
            <w:tcW w:type="dxa" w:w="3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Free up to daily limits</w:t>
            </w:r>
          </w:p>
        </w:tc>
      </w:tr>
    </w:tbl>
    <w:p>
      <w:pPr>
        <w:spacing w:after="60" w:before="60"/>
      </w:pPr>
      <w:r>
        <w:t xml:space="preserve"/>
      </w:r>
    </w:p>
    <w:p>
      <w:pPr>
        <w:spacing w:after="100" w:before="60"/>
      </w:pPr>
      <w:r>
        <w:rPr>
          <w:rFonts w:ascii="Arial" w:cs="Arial" w:eastAsia="Arial" w:hAnsi="Arial"/>
          <w:sz w:val="22"/>
          <w:szCs w:val="22"/>
        </w:rPr>
        <w:t xml:space="preserve">Given that Llama 3.1 8B on Groq achieves 91.87% accuracy at effectively zero cost during the research phase, it is the most cost-efficient option for scaling. GPT-4o-mini remains the marginal accuracy leader (+1%) but at higher cost per token.</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7. Current State &amp; Accuracy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3640"/>
        <w:gridCol w:w="2340"/>
        <w:gridCol w:w="2340"/>
      </w:tblGrid>
      <w:tr>
        <w:trPr>
          <w:tblHeader/>
        </w:trPr>
        <w:tc>
          <w:tcPr>
            <w:tcW w:type="dxa" w:w="10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6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36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TextBlob</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28.17%</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Abandoned</w:t>
            </w:r>
          </w:p>
        </w:tc>
      </w:tr>
      <w:tr>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VADER</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Abandoned</w:t>
            </w:r>
          </w:p>
        </w:tc>
      </w:tr>
      <w:tr>
        <w:tc>
          <w:tcPr>
            <w:tcW w:type="dxa" w:w="1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w:t>
            </w:r>
          </w:p>
        </w:tc>
        <w:tc>
          <w:tcPr>
            <w:tcW w:type="dxa" w:w="36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FinBERT (ProsusAI)</w:t>
            </w:r>
          </w:p>
        </w:tc>
        <w:tc>
          <w:tcPr>
            <w:tcW w:type="dxa" w:w="2340"/>
            <w:tcBorders>
              <w:top w:val="single" w:color="CCCCCC" w:sz="1"/>
              <w:left w:val="single" w:color="CCCCCC" w:sz="1"/>
              <w:bottom w:val="single" w:color="CCCCCC" w:sz="1"/>
              <w:right w:val="single" w:color="CCCCCC" w:sz="1"/>
            </w:tcBorders>
            <w:shd w:fill="FEF9C3"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66.67%</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Abandoned</w:t>
            </w:r>
          </w:p>
        </w:tc>
      </w:tr>
      <w:tr>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2</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GPT-4o-mini (OpenAI)</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92.86%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Active — benchmark</w:t>
            </w:r>
          </w:p>
        </w:tc>
      </w:tr>
      <w:tr>
        <w:tc>
          <w:tcPr>
            <w:tcW w:type="dxa" w:w="1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2</w:t>
            </w:r>
          </w:p>
        </w:tc>
        <w:tc>
          <w:tcPr>
            <w:tcW w:type="dxa" w:w="36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Llama 3.3 70B (Groq)</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92.26%</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Active — strong alternative</w:t>
            </w:r>
          </w:p>
        </w:tc>
      </w:tr>
      <w:tr>
        <w:tc>
          <w:tcPr>
            <w:tcW w:type="dxa" w:w="1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2</w:t>
            </w:r>
          </w:p>
        </w:tc>
        <w:tc>
          <w:tcPr>
            <w:tcW w:type="dxa" w:w="3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Llama 3.1 8B (Groq)</w:t>
            </w:r>
          </w:p>
        </w:tc>
        <w:tc>
          <w:tcPr>
            <w:tcW w:type="dxa" w:w="23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91.87%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Active — cost-efficient choice</w:t>
            </w:r>
          </w:p>
        </w:tc>
      </w:tr>
    </w:tbl>
    <w:p>
      <w:pPr>
        <w:spacing w:after="60" w:before="60"/>
      </w:pPr>
      <w:r>
        <w:t xml:space="preserve"/>
      </w:r>
    </w:p>
    <w:p>
      <w:pPr>
        <w:spacing w:after="100" w:before="60"/>
      </w:pPr>
      <w:r>
        <w:rPr>
          <w:rFonts w:ascii="Arial" w:cs="Arial" w:eastAsia="Arial" w:hAnsi="Arial"/>
          <w:sz w:val="22"/>
          <w:szCs w:val="22"/>
        </w:rPr>
        <w:t xml:space="preserve">Remaining errors (~8%) are concentrated on genuinely ambiguous headlines where the correct label is debatable. These are largely edge cases rather than clear model failures, suggesting the classifier has reached near-ceiling performance on the current ground truth labels.</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8. Next Steps</w:t>
      </w:r>
    </w:p>
    <w:p>
      <w:pPr>
        <w:pStyle w:val="Heading2"/>
        <w:spacing w:after="120" w:before="240"/>
      </w:pPr>
      <w:r>
        <w:rPr>
          <w:rFonts w:ascii="Arial" w:cs="Arial" w:eastAsia="Arial" w:hAnsi="Arial"/>
          <w:b/>
          <w:bCs/>
          <w:color w:val="2E74B5"/>
          <w:sz w:val="24"/>
          <w:szCs w:val="24"/>
        </w:rPr>
        <w:t xml:space="preserve">8.1 Immediate</w:t>
      </w:r>
    </w:p>
    <w:p>
      <w:pPr>
        <w:pStyle w:val="ListParagraph"/>
        <w:numPr>
          <w:ilvl w:val="0"/>
          <w:numId w:val="2"/>
        </w:numPr>
        <w:spacing w:after="40" w:before="40"/>
      </w:pPr>
      <w:r>
        <w:rPr>
          <w:rFonts w:ascii="Arial" w:cs="Arial" w:eastAsia="Arial" w:hAnsi="Arial"/>
          <w:sz w:val="22"/>
          <w:szCs w:val="22"/>
        </w:rPr>
        <w:t xml:space="preserve">Collect real-world Tanzanian financial headlines from The Citizen, Daily News, and IPP Media</w:t>
      </w:r>
    </w:p>
    <w:p>
      <w:pPr>
        <w:pStyle w:val="ListParagraph"/>
        <w:numPr>
          <w:ilvl w:val="0"/>
          <w:numId w:val="2"/>
        </w:numPr>
        <w:spacing w:after="40" w:before="40"/>
      </w:pPr>
      <w:r>
        <w:rPr>
          <w:rFonts w:ascii="Arial" w:cs="Arial" w:eastAsia="Arial" w:hAnsi="Arial"/>
          <w:sz w:val="22"/>
          <w:szCs w:val="22"/>
        </w:rPr>
        <w:t xml:space="preserve">Run the validated classifier (Llama 3.1 8B on Groq or GPT-4o-mini) to generate sentiment labels at scale</w:t>
      </w:r>
    </w:p>
    <w:p>
      <w:pPr>
        <w:pStyle w:val="ListParagraph"/>
        <w:numPr>
          <w:ilvl w:val="0"/>
          <w:numId w:val="2"/>
        </w:numPr>
        <w:spacing w:after="40" w:before="40"/>
      </w:pPr>
      <w:r>
        <w:rPr>
          <w:rFonts w:ascii="Arial" w:cs="Arial" w:eastAsia="Arial" w:hAnsi="Arial"/>
          <w:sz w:val="22"/>
          <w:szCs w:val="22"/>
        </w:rPr>
        <w:t xml:space="preserve">Build monthly aggregated sentiment scores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8.2 Correlation Analysis</w:t>
      </w:r>
    </w:p>
    <w:p>
      <w:pPr>
        <w:pStyle w:val="ListParagraph"/>
        <w:numPr>
          <w:ilvl w:val="0"/>
          <w:numId w:val="2"/>
        </w:numPr>
        <w:spacing w:after="40" w:before="40"/>
      </w:pPr>
      <w:r>
        <w:rPr>
          <w:rFonts w:ascii="Arial" w:cs="Arial" w:eastAsia="Arial" w:hAnsi="Arial"/>
          <w:sz w:val="22"/>
          <w:szCs w:val="22"/>
        </w:rPr>
        <w:t xml:space="preserve">Obtain BoT inflation data and USD/TZS exchange rate time series</w:t>
      </w:r>
    </w:p>
    <w:p>
      <w:pPr>
        <w:pStyle w:val="ListParagraph"/>
        <w:numPr>
          <w:ilvl w:val="0"/>
          <w:numId w:val="2"/>
        </w:numPr>
        <w:spacing w:after="40" w:before="40"/>
      </w:pPr>
      <w:r>
        <w:rPr>
          <w:rFonts w:ascii="Arial" w:cs="Arial" w:eastAsia="Arial" w:hAnsi="Arial"/>
          <w:sz w:val="22"/>
          <w:szCs w:val="22"/>
        </w:rPr>
        <w:t xml:space="preserve">Correlate monthly average sentiment scores against economic indicator movements</w:t>
      </w:r>
    </w:p>
    <w:p>
      <w:pPr>
        <w:pStyle w:val="ListParagraph"/>
        <w:numPr>
          <w:ilvl w:val="0"/>
          <w:numId w:val="2"/>
        </w:numPr>
        <w:spacing w:after="40" w:before="40"/>
      </w:pPr>
      <w:r>
        <w:rPr>
          <w:rFonts w:ascii="Arial" w:cs="Arial" w:eastAsia="Arial" w:hAnsi="Arial"/>
          <w:sz w:val="22"/>
          <w:szCs w:val="22"/>
        </w:rPr>
        <w:t xml:space="preserve">Visualise the relationship between media tone and key economic shifts</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8.3 Scale Considerations</w:t>
      </w:r>
    </w:p>
    <w:p>
      <w:pPr>
        <w:pStyle w:val="ListParagraph"/>
        <w:numPr>
          <w:ilvl w:val="0"/>
          <w:numId w:val="2"/>
        </w:numPr>
        <w:spacing w:after="40" w:before="40"/>
      </w:pPr>
      <w:r>
        <w:rPr>
          <w:rFonts w:ascii="Arial" w:cs="Arial" w:eastAsia="Arial" w:hAnsi="Arial"/>
          <w:sz w:val="22"/>
          <w:szCs w:val="22"/>
        </w:rPr>
        <w:t xml:space="preserve">At low-to-medium volume: continue on Groq free tier (Llama 3.1 8B)</w:t>
      </w:r>
    </w:p>
    <w:p>
      <w:pPr>
        <w:pStyle w:val="ListParagraph"/>
        <w:numPr>
          <w:ilvl w:val="0"/>
          <w:numId w:val="2"/>
        </w:numPr>
        <w:spacing w:after="40" w:before="40"/>
      </w:pPr>
      <w:r>
        <w:rPr>
          <w:rFonts w:ascii="Arial" w:cs="Arial" w:eastAsia="Arial" w:hAnsi="Arial"/>
          <w:sz w:val="22"/>
          <w:szCs w:val="22"/>
        </w:rPr>
        <w:t xml:space="preserve">At high volume (daily pipeline): evaluate Groq Batch API at 50% off paid rates</w:t>
      </w:r>
    </w:p>
    <w:p>
      <w:pPr>
        <w:pStyle w:val="ListParagraph"/>
        <w:numPr>
          <w:ilvl w:val="0"/>
          <w:numId w:val="2"/>
        </w:numPr>
        <w:spacing w:after="40" w:before="40"/>
      </w:pPr>
      <w:r>
        <w:rPr>
          <w:rFonts w:ascii="Arial" w:cs="Arial" w:eastAsia="Arial" w:hAnsi="Arial"/>
          <w:sz w:val="22"/>
          <w:szCs w:val="22"/>
        </w:rPr>
        <w:t xml:space="preserve">Local model installation (Ollama): only worth pursuing if data privacy or cost at scale become constraints — test on cloud first</w:t>
      </w:r>
    </w:p>
    <w:p>
      <w:pPr>
        <w:spacing w:after="60" w:before="60"/>
      </w:pPr>
      <w:r>
        <w:t xml:space="preserve"/>
      </w:r>
    </w:p>
    <w:p>
      <w:pPr>
        <w:pStyle w:val="Heading1"/>
        <w:pBdr>
          <w:bottom w:val="single" w:color="1F4E79" w:sz="6" w:space="1"/>
        </w:pBdr>
        <w:spacing w:after="160" w:before="320"/>
      </w:pPr>
      <w:r>
        <w:rPr>
          <w:rFonts w:ascii="Arial" w:cs="Arial" w:eastAsia="Arial" w:hAnsi="Arial"/>
          <w:b/>
          <w:bCs/>
          <w:color w:val="1F4E79"/>
          <w:sz w:val="28"/>
          <w:szCs w:val="28"/>
        </w:rPr>
        <w:t xml:space="preserve">9. Key Learnings</w:t>
      </w:r>
    </w:p>
    <w:p>
      <w:pPr>
        <w:pStyle w:val="ListParagraph"/>
        <w:numPr>
          <w:ilvl w:val="0"/>
          <w:numId w:val="2"/>
        </w:numPr>
        <w:spacing w:after="40" w:before="40"/>
      </w:pPr>
      <w:r>
        <w:rPr>
          <w:rFonts w:ascii="Arial" w:cs="Arial" w:eastAsia="Arial" w:hAnsi="Arial"/>
          <w:sz w:val="22"/>
          <w:szCs w:val="22"/>
        </w:rPr>
        <w:t xml:space="preserve">Prompt engineering, not model size, was the primary accuracy driver. A small 8B model with the right prompt outperformed a finance-specific BERT model by 25 percentage points.</w:t>
      </w:r>
    </w:p>
    <w:p>
      <w:pPr>
        <w:pStyle w:val="ListParagraph"/>
        <w:numPr>
          <w:ilvl w:val="0"/>
          <w:numId w:val="2"/>
        </w:numPr>
        <w:spacing w:after="40" w:before="40"/>
      </w:pPr>
      <w:r>
        <w:rPr>
          <w:rFonts w:ascii="Arial" w:cs="Arial" w:eastAsia="Arial" w:hAnsi="Arial"/>
          <w:sz w:val="22"/>
          <w:szCs w:val="22"/>
        </w:rPr>
        <w:t xml:space="preserve">Domain specificity matters more than general NLP capability. FinBERT's Western finance training made it less useful than a general LLM given the right instructions.</w:t>
      </w:r>
    </w:p>
    <w:p>
      <w:pPr>
        <w:pStyle w:val="ListParagraph"/>
        <w:numPr>
          <w:ilvl w:val="0"/>
          <w:numId w:val="2"/>
        </w:numPr>
        <w:spacing w:after="40" w:before="40"/>
      </w:pPr>
      <w:r>
        <w:rPr>
          <w:rFonts w:ascii="Arial" w:cs="Arial" w:eastAsia="Arial" w:hAnsi="Arial"/>
          <w:sz w:val="22"/>
          <w:szCs w:val="22"/>
        </w:rPr>
        <w:t xml:space="preserve">Batching is essential for cost and rate-limit efficiency. Processing 25 headlines per API call reduces request count by 25x with no accuracy penalty.</w:t>
      </w:r>
    </w:p>
    <w:p>
      <w:pPr>
        <w:pStyle w:val="ListParagraph"/>
        <w:numPr>
          <w:ilvl w:val="0"/>
          <w:numId w:val="2"/>
        </w:numPr>
        <w:spacing w:after="40" w:before="40"/>
      </w:pPr>
      <w:r>
        <w:rPr>
          <w:rFonts w:ascii="Arial" w:cs="Arial" w:eastAsia="Arial" w:hAnsi="Arial"/>
          <w:sz w:val="22"/>
          <w:szCs w:val="22"/>
        </w:rPr>
        <w:t xml:space="preserve">Testing models on cloud infrastructure before local installation is the correct workflow. It avoids wasting local resources on models that may not meet requirements.</w:t>
      </w:r>
    </w:p>
    <w:p>
      <w:pPr>
        <w:pStyle w:val="ListParagraph"/>
        <w:numPr>
          <w:ilvl w:val="0"/>
          <w:numId w:val="2"/>
        </w:numPr>
        <w:spacing w:after="40" w:before="40"/>
      </w:pPr>
      <w:r>
        <w:rPr>
          <w:rFonts w:ascii="Arial" w:cs="Arial" w:eastAsia="Arial" w:hAnsi="Arial"/>
          <w:sz w:val="22"/>
          <w:szCs w:val="22"/>
        </w:rPr>
        <w:t xml:space="preserve">The accuracy ceiling may be the ground truth labels themselves. With AI-generated labels as the benchmark, true human-level performance is difficult to measure without manual annotation.</w:t>
      </w:r>
    </w:p>
    <w:p>
      <w:pPr>
        <w:spacing w:after="60"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EF-02 | Tanzania Financial News Sentiment Analysis</w:t>
    </w:r>
    <w:r>
      <w:rPr>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2026-05-10T21:27:25.838Z</dcterms:created>
  <dcterms:modified xsi:type="dcterms:W3CDTF">2026-05-10T21:27:25.838Z</dcterms:modified>
</cp:coreProperties>
</file>

<file path=docProps/custom.xml><?xml version="1.0" encoding="utf-8"?>
<Properties xmlns="http://schemas.openxmlformats.org/officeDocument/2006/custom-properties" xmlns:vt="http://schemas.openxmlformats.org/officeDocument/2006/docPropsVTypes"/>
</file>