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Évaluation GRC - Use Cases 1 à 8 avec KPI et Conformité</w:t>
      </w:r>
    </w:p>
    <w:p>
      <w:pPr>
        <w:pStyle w:val="Heading1"/>
      </w:pPr>
      <w:r>
        <w:t>Tableau d'évaluation des politiques (Use Cases 1 à 8)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Use Case</w:t>
            </w:r>
          </w:p>
        </w:tc>
        <w:tc>
          <w:tcPr>
            <w:tcW w:type="dxa" w:w="2160"/>
          </w:tcPr>
          <w:p>
            <w:r>
              <w:t>Référence Standard</w:t>
            </w:r>
          </w:p>
        </w:tc>
        <w:tc>
          <w:tcPr>
            <w:tcW w:type="dxa" w:w="2160"/>
          </w:tcPr>
          <w:p>
            <w:r>
              <w:t>Score KPI (%)</w:t>
            </w:r>
          </w:p>
        </w:tc>
        <w:tc>
          <w:tcPr>
            <w:tcW w:type="dxa" w:w="2160"/>
          </w:tcPr>
          <w:p>
            <w:r>
              <w:t>État de Conformité</w:t>
            </w:r>
          </w:p>
        </w:tc>
      </w:tr>
      <w:tr>
        <w:tc>
          <w:tcPr>
            <w:tcW w:type="dxa" w:w="2160"/>
          </w:tcPr>
          <w:p>
            <w:r>
              <w:t>1. Classification des actifs</w:t>
            </w:r>
          </w:p>
        </w:tc>
        <w:tc>
          <w:tcPr>
            <w:tcW w:type="dxa" w:w="2160"/>
          </w:tcPr>
          <w:p>
            <w:r>
              <w:t>ISO 27001 - A.8.2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Non conforme</w:t>
            </w:r>
          </w:p>
        </w:tc>
      </w:tr>
      <w:tr>
        <w:tc>
          <w:tcPr>
            <w:tcW w:type="dxa" w:w="2160"/>
          </w:tcPr>
          <w:p>
            <w:r>
              <w:t>2. Gestion des journaux d'activités</w:t>
            </w:r>
          </w:p>
        </w:tc>
        <w:tc>
          <w:tcPr>
            <w:tcW w:type="dxa" w:w="2160"/>
          </w:tcPr>
          <w:p>
            <w:r>
              <w:t>PCI DSS Req. 10 / NIST AU-2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Partiellement conforme</w:t>
            </w:r>
          </w:p>
        </w:tc>
      </w:tr>
      <w:tr>
        <w:tc>
          <w:tcPr>
            <w:tcW w:type="dxa" w:w="2160"/>
          </w:tcPr>
          <w:p>
            <w:r>
              <w:t>3. Révision des droits d'accès</w:t>
            </w:r>
          </w:p>
        </w:tc>
        <w:tc>
          <w:tcPr>
            <w:tcW w:type="dxa" w:w="2160"/>
          </w:tcPr>
          <w:p>
            <w:r>
              <w:t>ISO 27001 - A.9.2.5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Non conforme</w:t>
            </w:r>
          </w:p>
        </w:tc>
      </w:tr>
      <w:tr>
        <w:tc>
          <w:tcPr>
            <w:tcW w:type="dxa" w:w="2160"/>
          </w:tcPr>
          <w:p>
            <w:r>
              <w:t>4. Sauvegarde et restauration</w:t>
            </w:r>
          </w:p>
        </w:tc>
        <w:tc>
          <w:tcPr>
            <w:tcW w:type="dxa" w:w="2160"/>
          </w:tcPr>
          <w:p>
            <w:r>
              <w:t>ISO 27001 - A.12.3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Partiellement conforme</w:t>
            </w:r>
          </w:p>
        </w:tc>
      </w:tr>
      <w:tr>
        <w:tc>
          <w:tcPr>
            <w:tcW w:type="dxa" w:w="2160"/>
          </w:tcPr>
          <w:p>
            <w:r>
              <w:t>5. Sécurité des terminaux utilisateurs</w:t>
            </w:r>
          </w:p>
        </w:tc>
        <w:tc>
          <w:tcPr>
            <w:tcW w:type="dxa" w:w="2160"/>
          </w:tcPr>
          <w:p>
            <w:r>
              <w:t>NIST 800-53 - CM-7</w:t>
            </w:r>
          </w:p>
        </w:tc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Non conforme</w:t>
            </w:r>
          </w:p>
        </w:tc>
      </w:tr>
      <w:tr>
        <w:tc>
          <w:tcPr>
            <w:tcW w:type="dxa" w:w="2160"/>
          </w:tcPr>
          <w:p>
            <w:r>
              <w:t>6. Gestion des vulnérabilités</w:t>
            </w:r>
          </w:p>
        </w:tc>
        <w:tc>
          <w:tcPr>
            <w:tcW w:type="dxa" w:w="2160"/>
          </w:tcPr>
          <w:p>
            <w:r>
              <w:t>ISO 27001 - A.12.6.1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Partiellement conforme</w:t>
            </w:r>
          </w:p>
        </w:tc>
      </w:tr>
      <w:tr>
        <w:tc>
          <w:tcPr>
            <w:tcW w:type="dxa" w:w="2160"/>
          </w:tcPr>
          <w:p>
            <w:r>
              <w:t>7. Formation de sensibilisation</w:t>
            </w:r>
          </w:p>
        </w:tc>
        <w:tc>
          <w:tcPr>
            <w:tcW w:type="dxa" w:w="2160"/>
          </w:tcPr>
          <w:p>
            <w:r>
              <w:t>ISO 27001 - A.7.2.2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Non conforme</w:t>
            </w:r>
          </w:p>
        </w:tc>
      </w:tr>
      <w:tr>
        <w:tc>
          <w:tcPr>
            <w:tcW w:type="dxa" w:w="2160"/>
          </w:tcPr>
          <w:p>
            <w:r>
              <w:t>8. Analyse des incidents</w:t>
            </w:r>
          </w:p>
        </w:tc>
        <w:tc>
          <w:tcPr>
            <w:tcW w:type="dxa" w:w="2160"/>
          </w:tcPr>
          <w:p>
            <w:r>
              <w:t>ISO 27001 - A.16.1.2</w:t>
            </w:r>
          </w:p>
        </w:tc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Conforme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Graphique de conformité illustrant les KPI par use case avec seuil visé à 95%.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