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80" w:lineRule="auto"/>
        <w:rPr>
          <w:rFonts w:ascii="Times" w:cs="Times" w:eastAsia="Times" w:hAnsi="Times"/>
          <w:b w:val="1"/>
          <w:bCs w:val="1"/>
        </w:rPr>
      </w:pPr>
      <w:bookmarkStart w:colFirst="0" w:colLast="0" w:name="_se05dthnjql6" w:id="0"/>
      <w:bookmarkEnd w:id="0"/>
      <w:r w:rsidDel="00000000" w:rsidR="00000000" w:rsidRPr="00000000">
        <w:rPr>
          <w:rFonts w:ascii="Times" w:cs="Times" w:eastAsia="Times" w:hAnsi="Times"/>
          <w:b w:val="1"/>
          <w:bCs w:val="1"/>
          <w:rtl w:val="0"/>
        </w:rPr>
        <w:t xml:space="preserve">Oregon Reportable Diseases Data Project.</w:t>
      </w:r>
    </w:p>
    <w:p w:rsidR="00000000" w:rsidDel="00000000" w:rsidP="00000000" w:rsidRDefault="00000000" w:rsidRPr="00000000" w14:paraId="00000002">
      <w:pPr>
        <w:pStyle w:val="Heading2"/>
        <w:keepNext w:val="0"/>
        <w:keepLines w:val="0"/>
        <w:spacing w:after="80" w:lineRule="auto"/>
        <w:rPr>
          <w:rFonts w:ascii="Times" w:cs="Times" w:eastAsia="Times" w:hAnsi="Times"/>
          <w:b w:val="1"/>
          <w:bCs w:val="1"/>
          <w:sz w:val="34"/>
          <w:szCs w:val="34"/>
        </w:rPr>
      </w:pPr>
      <w:bookmarkStart w:colFirst="0" w:colLast="0" w:name="_1967r1g6kbx1" w:id="1"/>
      <w:bookmarkEnd w:id="1"/>
      <w:r w:rsidDel="00000000" w:rsidR="00000000" w:rsidRPr="00000000">
        <w:rPr>
          <w:rFonts w:ascii="Times" w:cs="Times" w:eastAsia="Times" w:hAnsi="Times"/>
          <w:b w:val="1"/>
          <w:bCs w:val="1"/>
          <w:sz w:val="34"/>
          <w:szCs w:val="34"/>
          <w:rtl w:val="0"/>
        </w:rPr>
        <w:t xml:space="preserve">Project overview</w:t>
      </w:r>
    </w:p>
    <w:p w:rsidR="00000000" w:rsidDel="00000000" w:rsidP="00000000" w:rsidRDefault="00000000" w:rsidRPr="00000000" w14:paraId="00000003">
      <w:pPr>
        <w:spacing w:after="120" w:before="12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This project analyzes weekly reportable communicable diseases in Oregon from 2020–2026 using a time‑series dashboard built on MySQL and Power BI.​</w:t>
      </w:r>
    </w:p>
    <w:p w:rsidR="00000000" w:rsidDel="00000000" w:rsidP="00000000" w:rsidRDefault="00000000" w:rsidRPr="00000000" w14:paraId="00000004">
      <w:pPr>
        <w:rPr>
          <w:rFonts w:ascii="Times" w:cs="Times" w:eastAsia="Times" w:hAnsi="Time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rFonts w:ascii="Times" w:cs="Times" w:eastAsia="Times" w:hAnsi="Times"/>
          <w:b w:val="1"/>
          <w:bCs w:val="1"/>
          <w:sz w:val="34"/>
          <w:szCs w:val="34"/>
        </w:rPr>
      </w:pPr>
      <w:bookmarkStart w:colFirst="0" w:colLast="0" w:name="_q45zsc1wfkf5" w:id="2"/>
      <w:bookmarkEnd w:id="2"/>
      <w:r w:rsidDel="00000000" w:rsidR="00000000" w:rsidRPr="00000000">
        <w:rPr>
          <w:rFonts w:ascii="Times" w:cs="Times" w:eastAsia="Times" w:hAnsi="Times"/>
          <w:b w:val="1"/>
          <w:bCs w:val="1"/>
          <w:sz w:val="34"/>
          <w:szCs w:val="34"/>
          <w:rtl w:val="0"/>
        </w:rPr>
        <w:t xml:space="preserve">Data and methods</w:t>
      </w:r>
    </w:p>
    <w:p w:rsidR="00000000" w:rsidDel="00000000" w:rsidP="00000000" w:rsidRDefault="00000000" w:rsidRPr="00000000" w14:paraId="00000006">
      <w:pPr>
        <w:numPr>
          <w:ilvl w:val="0"/>
          <w:numId w:val="6"/>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Data source: Weekly Oregon reportable disease surveillance. </w:t>
      </w:r>
      <w:hyperlink r:id="rId6">
        <w:r w:rsidDel="00000000" w:rsidR="00000000" w:rsidRPr="00000000">
          <w:rPr>
            <w:rFonts w:ascii="Times" w:cs="Times" w:eastAsia="Times" w:hAnsi="Times"/>
            <w:color w:val="1155cc"/>
            <w:sz w:val="24"/>
            <w:szCs w:val="24"/>
            <w:u w:val="single"/>
            <w:rtl w:val="0"/>
          </w:rPr>
          <w:t xml:space="preserve">Here is the link to the original dataset.</w:t>
        </w:r>
      </w:hyperlink>
      <w:r w:rsidDel="00000000" w:rsidR="00000000" w:rsidRPr="00000000">
        <w:rPr>
          <w:rtl w:val="0"/>
        </w:rPr>
      </w:r>
    </w:p>
    <w:p w:rsidR="00000000" w:rsidDel="00000000" w:rsidP="00000000" w:rsidRDefault="00000000" w:rsidRPr="00000000" w14:paraId="00000007">
      <w:pPr>
        <w:pBdr>
          <w:top w:color="auto" w:space="0" w:sz="0" w:val="none"/>
          <w:bottom w:color="auto" w:space="0" w:sz="0" w:val="none"/>
          <w:between w:color="auto" w:space="0" w:sz="0" w:val="none"/>
        </w:pBdr>
        <w:ind w:left="72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8">
      <w:pPr>
        <w:numPr>
          <w:ilvl w:val="0"/>
          <w:numId w:val="6"/>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Storage and cleaning:</w:t>
      </w:r>
    </w:p>
    <w:p w:rsidR="00000000" w:rsidDel="00000000" w:rsidP="00000000" w:rsidRDefault="00000000" w:rsidRPr="00000000" w14:paraId="00000009">
      <w:pPr>
        <w:numPr>
          <w:ilvl w:val="1"/>
          <w:numId w:val="6"/>
        </w:numPr>
        <w:pBdr>
          <w:top w:color="auto" w:space="0" w:sz="0" w:val="none"/>
          <w:bottom w:color="auto" w:space="0" w:sz="0" w:val="none"/>
          <w:between w:color="auto" w:space="0" w:sz="0" w:val="none"/>
        </w:pBdr>
        <w:spacing w:after="0" w:afterAutospacing="0" w:before="0" w:beforeAutospacing="0" w:lineRule="auto"/>
        <w:ind w:left="1440" w:hanging="360"/>
      </w:pPr>
      <w:r w:rsidDel="00000000" w:rsidR="00000000" w:rsidRPr="00000000">
        <w:rPr>
          <w:rFonts w:ascii="Times" w:cs="Times" w:eastAsia="Times" w:hAnsi="Times"/>
          <w:sz w:val="24"/>
          <w:szCs w:val="24"/>
          <w:rtl w:val="0"/>
        </w:rPr>
        <w:t xml:space="preserve">The original dataset was cleaned in Excel (date formatting to </w:t>
      </w:r>
      <w:r w:rsidDel="00000000" w:rsidR="00000000" w:rsidRPr="00000000">
        <w:rPr>
          <w:rFonts w:ascii="Times" w:cs="Times" w:eastAsia="Times" w:hAnsi="Times"/>
          <w:color w:val="188038"/>
          <w:sz w:val="21"/>
          <w:szCs w:val="21"/>
          <w:rtl w:val="0"/>
        </w:rPr>
        <w:t xml:space="preserve">yyyy-mm-dd</w:t>
      </w:r>
      <w:r w:rsidDel="00000000" w:rsidR="00000000" w:rsidRPr="00000000">
        <w:rPr>
          <w:rFonts w:ascii="Times" w:cs="Times" w:eastAsia="Times" w:hAnsi="Times"/>
          <w:sz w:val="24"/>
          <w:szCs w:val="24"/>
          <w:rtl w:val="0"/>
        </w:rPr>
        <w:t xml:space="preserve">) and loaded into a MySQL table </w:t>
      </w:r>
      <w:r w:rsidDel="00000000" w:rsidR="00000000" w:rsidRPr="00000000">
        <w:rPr>
          <w:rFonts w:ascii="Times" w:cs="Times" w:eastAsia="Times" w:hAnsi="Times"/>
          <w:color w:val="188038"/>
          <w:sz w:val="21"/>
          <w:szCs w:val="21"/>
          <w:rtl w:val="0"/>
        </w:rPr>
        <w:t xml:space="preserve">oregon_diseases</w:t>
      </w:r>
      <w:r w:rsidDel="00000000" w:rsidR="00000000" w:rsidRPr="00000000">
        <w:rPr>
          <w:rFonts w:ascii="Times" w:cs="Times" w:eastAsia="Times" w:hAnsi="Times"/>
          <w:sz w:val="24"/>
          <w:szCs w:val="24"/>
          <w:rtl w:val="0"/>
        </w:rPr>
        <w:t xml:space="preserve"> using </w:t>
      </w:r>
      <w:r w:rsidDel="00000000" w:rsidR="00000000" w:rsidRPr="00000000">
        <w:rPr>
          <w:rFonts w:ascii="Times" w:cs="Times" w:eastAsia="Times" w:hAnsi="Times"/>
          <w:color w:val="188038"/>
          <w:sz w:val="21"/>
          <w:szCs w:val="21"/>
          <w:rtl w:val="0"/>
        </w:rPr>
        <w:t xml:space="preserve">LOAD DATA LOCAL INFILE</w:t>
      </w:r>
      <w:r w:rsidDel="00000000" w:rsidR="00000000" w:rsidRPr="00000000">
        <w:rPr>
          <w:rFonts w:ascii="Times" w:cs="Times" w:eastAsia="Times" w:hAnsi="Times"/>
          <w:sz w:val="24"/>
          <w:szCs w:val="24"/>
          <w:rtl w:val="0"/>
        </w:rPr>
        <w:t xml:space="preserve"> for aggregate analysis.</w:t>
      </w:r>
      <w:r w:rsidDel="00000000" w:rsidR="00000000" w:rsidRPr="00000000">
        <w:rPr>
          <w:rtl w:val="0"/>
        </w:rPr>
      </w:r>
    </w:p>
    <w:p w:rsidR="00000000" w:rsidDel="00000000" w:rsidP="00000000" w:rsidRDefault="00000000" w:rsidRPr="00000000" w14:paraId="0000000A">
      <w:pPr>
        <w:numPr>
          <w:ilvl w:val="1"/>
          <w:numId w:val="6"/>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Redundant reporting‑metadata columns were dropped; key columns were retained.​</w:t>
      </w:r>
    </w:p>
    <w:p w:rsidR="00000000" w:rsidDel="00000000" w:rsidP="00000000" w:rsidRDefault="00000000" w:rsidRPr="00000000" w14:paraId="0000000B">
      <w:pPr>
        <w:numPr>
          <w:ilvl w:val="1"/>
          <w:numId w:val="6"/>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The remaining rows were renamed accordingly and re-coded into the appropriate values..​</w:t>
      </w:r>
    </w:p>
    <w:p w:rsidR="00000000" w:rsidDel="00000000" w:rsidP="00000000" w:rsidRDefault="00000000" w:rsidRPr="00000000" w14:paraId="0000000C">
      <w:pPr>
        <w:numPr>
          <w:ilvl w:val="0"/>
          <w:numId w:val="6"/>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SQL analysis:</w:t>
      </w:r>
    </w:p>
    <w:p w:rsidR="00000000" w:rsidDel="00000000" w:rsidP="00000000" w:rsidRDefault="00000000" w:rsidRPr="00000000" w14:paraId="0000000D">
      <w:pPr>
        <w:numPr>
          <w:ilvl w:val="1"/>
          <w:numId w:val="6"/>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Aggregation queries in MySQL produced total cases by disease, annual totals by disease and year, and weekly time‑series tables exported for visualization.​</w:t>
      </w:r>
    </w:p>
    <w:p w:rsidR="00000000" w:rsidDel="00000000" w:rsidP="00000000" w:rsidRDefault="00000000" w:rsidRPr="00000000" w14:paraId="0000000E">
      <w:pPr>
        <w:numPr>
          <w:ilvl w:val="0"/>
          <w:numId w:val="6"/>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Visualization stack:</w:t>
      </w:r>
    </w:p>
    <w:p w:rsidR="00000000" w:rsidDel="00000000" w:rsidP="00000000" w:rsidRDefault="00000000" w:rsidRPr="00000000" w14:paraId="0000000F">
      <w:pPr>
        <w:numPr>
          <w:ilvl w:val="1"/>
          <w:numId w:val="6"/>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I used Power BI Desktop connected directly to MySQL for import for the visualization.</w:t>
      </w:r>
    </w:p>
    <w:p w:rsidR="00000000" w:rsidDel="00000000" w:rsidP="00000000" w:rsidRDefault="00000000" w:rsidRPr="00000000" w14:paraId="00000010">
      <w:pPr>
        <w:numPr>
          <w:ilvl w:val="1"/>
          <w:numId w:val="6"/>
        </w:numPr>
        <w:pBdr>
          <w:top w:color="auto" w:space="0" w:sz="0" w:val="none"/>
          <w:bottom w:color="auto" w:space="0" w:sz="0" w:val="none"/>
          <w:between w:color="auto" w:space="0" w:sz="0" w:val="none"/>
        </w:pBdr>
        <w:spacing w:after="18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A report page was built with cards (total and average annual cases), weekly </w:t>
      </w:r>
      <w:r w:rsidDel="00000000" w:rsidR="00000000" w:rsidRPr="00000000">
        <w:rPr>
          <w:rFonts w:ascii="Times" w:cs="Times" w:eastAsia="Times" w:hAnsi="Times"/>
          <w:sz w:val="24"/>
          <w:szCs w:val="24"/>
          <w:rtl w:val="0"/>
        </w:rPr>
        <w:t xml:space="preserve">time‑series</w:t>
      </w:r>
      <w:r w:rsidDel="00000000" w:rsidR="00000000" w:rsidRPr="00000000">
        <w:rPr>
          <w:rFonts w:ascii="Times" w:cs="Times" w:eastAsia="Times" w:hAnsi="Times"/>
          <w:sz w:val="24"/>
          <w:szCs w:val="24"/>
          <w:rtl w:val="0"/>
        </w:rPr>
        <w:t xml:space="preserve"> line chart with trend line, yearly bar chart, and a detailed table, all controlled by slicers for disease, year, and date.</w:t>
      </w:r>
    </w:p>
    <w:p w:rsidR="00000000" w:rsidDel="00000000" w:rsidP="00000000" w:rsidRDefault="00000000" w:rsidRPr="00000000" w14:paraId="00000011">
      <w:pPr>
        <w:rPr>
          <w:rFonts w:ascii="Times" w:cs="Times" w:eastAsia="Times" w:hAnsi="Time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rFonts w:ascii="Times" w:cs="Times" w:eastAsia="Times" w:hAnsi="Times"/>
          <w:b w:val="1"/>
          <w:bCs w:val="1"/>
          <w:sz w:val="34"/>
          <w:szCs w:val="34"/>
        </w:rPr>
      </w:pPr>
      <w:bookmarkStart w:colFirst="0" w:colLast="0" w:name="_kiv101ffgl70" w:id="3"/>
      <w:bookmarkEnd w:id="3"/>
      <w:r w:rsidDel="00000000" w:rsidR="00000000" w:rsidRPr="00000000">
        <w:rPr>
          <w:rFonts w:ascii="Times" w:cs="Times" w:eastAsia="Times" w:hAnsi="Times"/>
          <w:b w:val="1"/>
          <w:bCs w:val="1"/>
          <w:sz w:val="34"/>
          <w:szCs w:val="34"/>
          <w:rtl w:val="0"/>
        </w:rPr>
        <w:t xml:space="preserve">Dashboard design</w:t>
      </w:r>
    </w:p>
    <w:p w:rsidR="00000000" w:rsidDel="00000000" w:rsidP="00000000" w:rsidRDefault="00000000" w:rsidRPr="00000000" w14:paraId="00000013">
      <w:pPr>
        <w:spacing w:after="120" w:before="12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The final dashboard includes:​</w:t>
      </w:r>
    </w:p>
    <w:p w:rsidR="00000000" w:rsidDel="00000000" w:rsidP="00000000" w:rsidRDefault="00000000" w:rsidRPr="00000000" w14:paraId="00000014">
      <w:pPr>
        <w:numPr>
          <w:ilvl w:val="0"/>
          <w:numId w:val="2"/>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Filters (slicers):</w:t>
      </w:r>
    </w:p>
    <w:p w:rsidR="00000000" w:rsidDel="00000000" w:rsidP="00000000" w:rsidRDefault="00000000" w:rsidRPr="00000000" w14:paraId="00000015">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Disease selector (default focus: Chlamydia).</w:t>
      </w:r>
    </w:p>
    <w:p w:rsidR="00000000" w:rsidDel="00000000" w:rsidP="00000000" w:rsidRDefault="00000000" w:rsidRPr="00000000" w14:paraId="00000016">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Year range.</w:t>
      </w:r>
    </w:p>
    <w:p w:rsidR="00000000" w:rsidDel="00000000" w:rsidP="00000000" w:rsidRDefault="00000000" w:rsidRPr="00000000" w14:paraId="00000017">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Week start date range.</w:t>
      </w:r>
    </w:p>
    <w:p w:rsidR="00000000" w:rsidDel="00000000" w:rsidP="00000000" w:rsidRDefault="00000000" w:rsidRPr="00000000" w14:paraId="00000018">
      <w:pPr>
        <w:numPr>
          <w:ilvl w:val="0"/>
          <w:numId w:val="2"/>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Key indicators:</w:t>
      </w:r>
    </w:p>
    <w:p w:rsidR="00000000" w:rsidDel="00000000" w:rsidP="00000000" w:rsidRDefault="00000000" w:rsidRPr="00000000" w14:paraId="00000019">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“Total Cases This Year” – The total number of cases per disease for the selected year(s).</w:t>
      </w:r>
    </w:p>
    <w:p w:rsidR="00000000" w:rsidDel="00000000" w:rsidP="00000000" w:rsidRDefault="00000000" w:rsidRPr="00000000" w14:paraId="0000001A">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“Average Annual Cases” – mean yearly disease burden across the selected years.</w:t>
      </w:r>
    </w:p>
    <w:p w:rsidR="00000000" w:rsidDel="00000000" w:rsidP="00000000" w:rsidRDefault="00000000" w:rsidRPr="00000000" w14:paraId="0000001B">
      <w:pPr>
        <w:numPr>
          <w:ilvl w:val="0"/>
          <w:numId w:val="2"/>
        </w:numPr>
        <w:pBdr>
          <w:top w:color="auto" w:space="0" w:sz="0" w:val="none"/>
          <w:bottom w:color="auto" w:space="0" w:sz="0" w:val="none"/>
          <w:between w:color="auto" w:space="0" w:sz="0" w:val="none"/>
        </w:pBdr>
        <w:spacing w:after="0" w:afterAutospacing="0"/>
        <w:ind w:left="720" w:hanging="360"/>
        <w:rPr>
          <w:rFonts w:ascii="Times" w:cs="Times" w:eastAsia="Times" w:hAnsi="Times"/>
        </w:rPr>
      </w:pPr>
      <w:r w:rsidDel="00000000" w:rsidR="00000000" w:rsidRPr="00000000">
        <w:rPr>
          <w:rFonts w:ascii="Times" w:cs="Times" w:eastAsia="Times" w:hAnsi="Times"/>
          <w:sz w:val="24"/>
          <w:szCs w:val="24"/>
          <w:rtl w:val="0"/>
        </w:rPr>
        <w:t xml:space="preserve">Visuals:</w:t>
      </w:r>
    </w:p>
    <w:p w:rsidR="00000000" w:rsidDel="00000000" w:rsidP="00000000" w:rsidRDefault="00000000" w:rsidRPr="00000000" w14:paraId="0000001C">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Weekly line chart of total cases over time with a linear trend line to highlight long‑term direction.</w:t>
      </w:r>
    </w:p>
    <w:p w:rsidR="00000000" w:rsidDel="00000000" w:rsidP="00000000" w:rsidRDefault="00000000" w:rsidRPr="00000000" w14:paraId="0000001D">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sz w:val="24"/>
          <w:szCs w:val="24"/>
          <w:rtl w:val="0"/>
        </w:rPr>
        <w:t xml:space="preserve">Bar chart of annual total cases by year to summarize the yearly disease burden.</w:t>
      </w:r>
    </w:p>
    <w:p w:rsidR="00000000" w:rsidDel="00000000" w:rsidP="00000000" w:rsidRDefault="00000000" w:rsidRPr="00000000" w14:paraId="0000001E">
      <w:pPr>
        <w:numPr>
          <w:ilvl w:val="1"/>
          <w:numId w:val="2"/>
        </w:numPr>
        <w:pBdr>
          <w:top w:color="auto" w:space="0" w:sz="0" w:val="none"/>
          <w:bottom w:color="auto" w:space="0" w:sz="0" w:val="none"/>
          <w:between w:color="auto" w:space="0" w:sz="0" w:val="none"/>
        </w:pBdr>
        <w:spacing w:after="18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Detail table listing weekly counts by week and disease for quality checks and drill‑down.</w:t>
      </w:r>
    </w:p>
    <w:p w:rsidR="00000000" w:rsidDel="00000000" w:rsidP="00000000" w:rsidRDefault="00000000" w:rsidRPr="00000000" w14:paraId="0000001F">
      <w:pPr>
        <w:spacing w:after="120" w:before="12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All visuals respond to the slicers, allowing rapid comparison of different diseases or time windows in a single view.</w:t>
      </w:r>
    </w:p>
    <w:p w:rsidR="00000000" w:rsidDel="00000000" w:rsidP="00000000" w:rsidRDefault="00000000" w:rsidRPr="00000000" w14:paraId="00000020">
      <w:pPr>
        <w:rPr>
          <w:rFonts w:ascii="Times" w:cs="Times" w:eastAsia="Times" w:hAnsi="Time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rFonts w:ascii="Times" w:cs="Times" w:eastAsia="Times" w:hAnsi="Times"/>
          <w:b w:val="1"/>
          <w:bCs w:val="1"/>
          <w:sz w:val="34"/>
          <w:szCs w:val="34"/>
        </w:rPr>
      </w:pPr>
      <w:bookmarkStart w:colFirst="0" w:colLast="0" w:name="_651ar5j4bqve" w:id="4"/>
      <w:bookmarkEnd w:id="4"/>
      <w:r w:rsidDel="00000000" w:rsidR="00000000" w:rsidRPr="00000000">
        <w:rPr>
          <w:rFonts w:ascii="Times" w:cs="Times" w:eastAsia="Times" w:hAnsi="Times"/>
          <w:b w:val="1"/>
          <w:bCs w:val="1"/>
          <w:sz w:val="34"/>
          <w:szCs w:val="34"/>
          <w:rtl w:val="0"/>
        </w:rPr>
        <w:t xml:space="preserve">Key findings</w:t>
      </w:r>
    </w:p>
    <w:p w:rsidR="00000000" w:rsidDel="00000000" w:rsidP="00000000" w:rsidRDefault="00000000" w:rsidRPr="00000000" w14:paraId="00000022">
      <w:pPr>
        <w:numPr>
          <w:ilvl w:val="0"/>
          <w:numId w:val="3"/>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Overall burden: Across all reportable conditions in the dataset, Oregon recorded roughly 176,000 cases between 2020 and early 2026, reflecting a substantial and sustained communicable‑disease burden in the state.​</w:t>
      </w:r>
    </w:p>
    <w:p w:rsidR="00000000" w:rsidDel="00000000" w:rsidP="00000000" w:rsidRDefault="00000000" w:rsidRPr="00000000" w14:paraId="00000023">
      <w:pPr>
        <w:numPr>
          <w:ilvl w:val="0"/>
          <w:numId w:val="3"/>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Leading conditions: Sexually transmitted infections (notably Chlamydia and Gonorrhea) and selected enteric infections (such as Campylobacteriosis and Salmonellosis) contribute the largest share of total reported cases, consistently appearing at the top of annual disease rankings.​</w:t>
      </w:r>
    </w:p>
    <w:p w:rsidR="00000000" w:rsidDel="00000000" w:rsidP="00000000" w:rsidRDefault="00000000" w:rsidRPr="00000000" w14:paraId="00000024">
      <w:pPr>
        <w:numPr>
          <w:ilvl w:val="0"/>
          <w:numId w:val="3"/>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Year‑to‑year patterns: Annual totals remain high across the period, with modest variation by year; some conditions such as Chlamydia and Gonorrhea show gradual declines or plateaus, while others maintain stable or rising trends when viewed in the yearly bar chart (Tuberculosis and Childhood Lead Poisoning).</w:t>
      </w:r>
    </w:p>
    <w:p w:rsidR="00000000" w:rsidDel="00000000" w:rsidP="00000000" w:rsidRDefault="00000000" w:rsidRPr="00000000" w14:paraId="00000025">
      <w:pPr>
        <w:numPr>
          <w:ilvl w:val="0"/>
          <w:numId w:val="3"/>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Weekly dynamics: Weekly time‑series plots demonstrate persistent baseline transmission for common STIs and recurrent seasonal peaks for several enteric and vector‑borne diseases, with occasional sharp weekly spikes that could be consistent with localized outbreaks or clusters.​</w:t>
      </w:r>
    </w:p>
    <w:p w:rsidR="00000000" w:rsidDel="00000000" w:rsidP="00000000" w:rsidRDefault="00000000" w:rsidRPr="00000000" w14:paraId="00000026">
      <w:pPr>
        <w:numPr>
          <w:ilvl w:val="0"/>
          <w:numId w:val="3"/>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Surveillance sensitivity and data quality: The presence of small‑number suppression (“1 to 5” counts), zero‑case weeks for typically rare diseases, and variation in the mix of diseases reported over time highlights both the strengths and limitations of routine surveillance data for fine‑grained epidemiologic inference.</w:t>
      </w:r>
    </w:p>
    <w:p w:rsidR="00000000" w:rsidDel="00000000" w:rsidP="00000000" w:rsidRDefault="00000000" w:rsidRPr="00000000" w14:paraId="00000027">
      <w:pPr>
        <w:spacing w:after="120" w:before="120" w:lineRule="auto"/>
        <w:rPr>
          <w:rFonts w:ascii="Times" w:cs="Times" w:eastAsia="Times" w:hAnsi="Times"/>
        </w:rPr>
      </w:pPr>
      <w:r w:rsidDel="00000000" w:rsidR="00000000" w:rsidRPr="00000000">
        <w:rPr>
          <w:rtl w:val="0"/>
        </w:rPr>
      </w:r>
    </w:p>
    <w:p w:rsidR="00000000" w:rsidDel="00000000" w:rsidP="00000000" w:rsidRDefault="00000000" w:rsidRPr="00000000" w14:paraId="00000028">
      <w:pPr>
        <w:rPr>
          <w:rFonts w:ascii="Times" w:cs="Times" w:eastAsia="Times" w:hAnsi="Time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keepNext w:val="0"/>
        <w:keepLines w:val="0"/>
        <w:spacing w:after="80" w:lineRule="auto"/>
        <w:rPr>
          <w:rFonts w:ascii="Times" w:cs="Times" w:eastAsia="Times" w:hAnsi="Times"/>
          <w:b w:val="1"/>
          <w:bCs w:val="1"/>
          <w:sz w:val="34"/>
          <w:szCs w:val="34"/>
        </w:rPr>
      </w:pPr>
      <w:bookmarkStart w:colFirst="0" w:colLast="0" w:name="_mytmw9gxj0xo" w:id="5"/>
      <w:bookmarkEnd w:id="5"/>
      <w:r w:rsidDel="00000000" w:rsidR="00000000" w:rsidRPr="00000000">
        <w:rPr>
          <w:rFonts w:ascii="Times" w:cs="Times" w:eastAsia="Times" w:hAnsi="Times"/>
          <w:b w:val="1"/>
          <w:bCs w:val="1"/>
          <w:sz w:val="34"/>
          <w:szCs w:val="34"/>
          <w:rtl w:val="0"/>
        </w:rPr>
        <w:t xml:space="preserve">Interpretation and limitations</w:t>
      </w:r>
    </w:p>
    <w:p w:rsidR="00000000" w:rsidDel="00000000" w:rsidP="00000000" w:rsidRDefault="00000000" w:rsidRPr="00000000" w14:paraId="0000002A">
      <w:pPr>
        <w:numPr>
          <w:ilvl w:val="0"/>
          <w:numId w:val="1"/>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The dashboard illustrates how routine surveillance data can be used for quick situational awareness on high‑burden diseases such as Chlamydia, showing both long‑term trends and short‑term fluctuations by week.​</w:t>
      </w:r>
    </w:p>
    <w:p w:rsidR="00000000" w:rsidDel="00000000" w:rsidP="00000000" w:rsidRDefault="00000000" w:rsidRPr="00000000" w14:paraId="0000002B">
      <w:pPr>
        <w:numPr>
          <w:ilvl w:val="0"/>
          <w:numId w:val="1"/>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The dataset captures reported cases rather than true incidence; under‑diagnosis, under‑reporting, and changes in case definitions or reporting practices over time may influence trends.​</w:t>
      </w:r>
    </w:p>
    <w:p w:rsidR="00000000" w:rsidDel="00000000" w:rsidP="00000000" w:rsidRDefault="00000000" w:rsidRPr="00000000" w14:paraId="0000002C">
      <w:pPr>
        <w:numPr>
          <w:ilvl w:val="0"/>
          <w:numId w:val="1"/>
        </w:numPr>
        <w:pBdr>
          <w:top w:color="auto" w:space="0" w:sz="0" w:val="none"/>
          <w:bottom w:color="auto" w:space="0" w:sz="0" w:val="none"/>
          <w:between w:color="auto" w:space="0" w:sz="0" w:val="none"/>
        </w:pBdr>
        <w:ind w:left="720" w:hanging="360"/>
        <w:rPr>
          <w:rFonts w:ascii="Times" w:cs="Times" w:eastAsia="Times" w:hAnsi="Times"/>
        </w:rPr>
      </w:pPr>
      <w:r w:rsidDel="00000000" w:rsidR="00000000" w:rsidRPr="00000000">
        <w:rPr>
          <w:rFonts w:ascii="Times" w:cs="Times" w:eastAsia="Times" w:hAnsi="Times"/>
          <w:sz w:val="24"/>
          <w:szCs w:val="24"/>
          <w:rtl w:val="0"/>
        </w:rPr>
        <w:t xml:space="preserve">Small‑number suppression (e.g., “1 to 5” recoded to a single value) introduces some uncertainty for low‑incidence diseases but has limited impact on high‑volume conditions.​</w:t>
      </w:r>
    </w:p>
    <w:p w:rsidR="00000000" w:rsidDel="00000000" w:rsidP="00000000" w:rsidRDefault="00000000" w:rsidRPr="00000000" w14:paraId="0000002D">
      <w:pPr>
        <w:pBdr>
          <w:top w:color="auto" w:space="0" w:sz="0" w:val="none"/>
          <w:bottom w:color="auto" w:space="0" w:sz="0" w:val="none"/>
          <w:between w:color="auto" w:space="0" w:sz="0" w:val="none"/>
        </w:pBd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E">
      <w:pPr>
        <w:pStyle w:val="Heading2"/>
        <w:spacing w:after="80" w:before="0" w:lineRule="auto"/>
        <w:rPr>
          <w:rFonts w:ascii="Times" w:cs="Times" w:eastAsia="Times" w:hAnsi="Times"/>
          <w:b w:val="1"/>
          <w:bCs w:val="1"/>
          <w:sz w:val="34"/>
          <w:szCs w:val="34"/>
        </w:rPr>
      </w:pPr>
      <w:bookmarkStart w:colFirst="0" w:colLast="0" w:name="_lmdsco1ycwii" w:id="6"/>
      <w:bookmarkEnd w:id="6"/>
      <w:r w:rsidDel="00000000" w:rsidR="00000000" w:rsidRPr="00000000">
        <w:rPr>
          <w:rFonts w:ascii="Times" w:cs="Times" w:eastAsia="Times" w:hAnsi="Times"/>
          <w:b w:val="1"/>
          <w:bCs w:val="1"/>
          <w:sz w:val="34"/>
          <w:szCs w:val="34"/>
          <w:rtl w:val="0"/>
        </w:rPr>
        <w:t xml:space="preserve">Potential uses and benefits</w:t>
      </w:r>
    </w:p>
    <w:p w:rsidR="00000000" w:rsidDel="00000000" w:rsidP="00000000" w:rsidRDefault="00000000" w:rsidRPr="00000000" w14:paraId="0000002F">
      <w:pPr>
        <w:pStyle w:val="Heading2"/>
        <w:numPr>
          <w:ilvl w:val="0"/>
          <w:numId w:val="5"/>
        </w:numPr>
        <w:pBdr>
          <w:top w:color="auto" w:space="0" w:sz="0" w:val="none"/>
          <w:bottom w:color="auto" w:space="0" w:sz="0" w:val="none"/>
          <w:between w:color="auto" w:space="0" w:sz="0" w:val="none"/>
        </w:pBdr>
        <w:spacing w:after="0" w:before="0" w:lineRule="auto"/>
        <w:ind w:left="720" w:hanging="360"/>
        <w:rPr>
          <w:rFonts w:ascii="Times" w:cs="Times" w:eastAsia="Times" w:hAnsi="Times"/>
        </w:rPr>
      </w:pPr>
      <w:bookmarkStart w:colFirst="0" w:colLast="0" w:name="_7y46t5lzf5nu" w:id="7"/>
      <w:bookmarkEnd w:id="7"/>
      <w:r w:rsidDel="00000000" w:rsidR="00000000" w:rsidRPr="00000000">
        <w:rPr>
          <w:rFonts w:ascii="Times" w:cs="Times" w:eastAsia="Times" w:hAnsi="Times"/>
          <w:sz w:val="24"/>
          <w:szCs w:val="24"/>
          <w:rtl w:val="0"/>
        </w:rPr>
        <w:t xml:space="preserve">Routine situational awareness: A weekly, filterable dashboard lets public‑health teams rapidly see which diseases are currently driving the highest burden, how this compares to previous years, and whether unusual spikes are emerging that may require investigation or response.​</w:t>
      </w:r>
    </w:p>
    <w:p w:rsidR="00000000" w:rsidDel="00000000" w:rsidP="00000000" w:rsidRDefault="00000000" w:rsidRPr="00000000" w14:paraId="00000030">
      <w:pPr>
        <w:pStyle w:val="Heading2"/>
        <w:numPr>
          <w:ilvl w:val="0"/>
          <w:numId w:val="5"/>
        </w:numPr>
        <w:pBdr>
          <w:top w:color="auto" w:space="0" w:sz="0" w:val="none"/>
          <w:bottom w:color="auto" w:space="0" w:sz="0" w:val="none"/>
          <w:between w:color="auto" w:space="0" w:sz="0" w:val="none"/>
        </w:pBdr>
        <w:spacing w:after="0" w:before="0" w:lineRule="auto"/>
        <w:ind w:left="720" w:hanging="360"/>
        <w:rPr>
          <w:rFonts w:ascii="Times" w:cs="Times" w:eastAsia="Times" w:hAnsi="Times"/>
        </w:rPr>
      </w:pPr>
      <w:bookmarkStart w:colFirst="0" w:colLast="0" w:name="_7y46t5lzf5nu" w:id="7"/>
      <w:bookmarkEnd w:id="7"/>
      <w:r w:rsidDel="00000000" w:rsidR="00000000" w:rsidRPr="00000000">
        <w:rPr>
          <w:rFonts w:ascii="Times" w:cs="Times" w:eastAsia="Times" w:hAnsi="Times"/>
          <w:sz w:val="24"/>
          <w:szCs w:val="24"/>
          <w:rtl w:val="0"/>
        </w:rPr>
        <w:t xml:space="preserve">Early outbreak detection and monitoring: Visualizing weekly time series with trend lines and peaks supports faster recognition of abnormal increases in specific diseases, helping to trigger targeted case finding, contact tracing, or environmental investigations, and to monitor whether interventions are reducing incidence over subsequent weeks.​</w:t>
      </w:r>
    </w:p>
    <w:p w:rsidR="00000000" w:rsidDel="00000000" w:rsidP="00000000" w:rsidRDefault="00000000" w:rsidRPr="00000000" w14:paraId="00000031">
      <w:pPr>
        <w:pStyle w:val="Heading2"/>
        <w:numPr>
          <w:ilvl w:val="0"/>
          <w:numId w:val="5"/>
        </w:numPr>
        <w:pBdr>
          <w:top w:color="auto" w:space="0" w:sz="0" w:val="none"/>
          <w:bottom w:color="auto" w:space="0" w:sz="0" w:val="none"/>
          <w:between w:color="auto" w:space="0" w:sz="0" w:val="none"/>
        </w:pBdr>
        <w:spacing w:after="0" w:before="0" w:lineRule="auto"/>
        <w:ind w:left="720" w:hanging="360"/>
        <w:rPr>
          <w:rFonts w:ascii="Times" w:cs="Times" w:eastAsia="Times" w:hAnsi="Times"/>
        </w:rPr>
      </w:pPr>
      <w:bookmarkStart w:colFirst="0" w:colLast="0" w:name="_7y46t5lzf5nu" w:id="7"/>
      <w:bookmarkEnd w:id="7"/>
      <w:r w:rsidDel="00000000" w:rsidR="00000000" w:rsidRPr="00000000">
        <w:rPr>
          <w:rFonts w:ascii="Times" w:cs="Times" w:eastAsia="Times" w:hAnsi="Times"/>
          <w:sz w:val="24"/>
          <w:szCs w:val="24"/>
          <w:rtl w:val="0"/>
        </w:rPr>
        <w:t xml:space="preserve">Forecasting and planning: Exporting the weekly aggregated data from this dashboard into statistical tools (Python, R) allows time‑series models (e.g., ARIMA, exponential smoothing) to be fit and forecast future case counts, supporting resource planning for clinics, laboratories, and public‑health programs.​</w:t>
      </w:r>
    </w:p>
    <w:p w:rsidR="00000000" w:rsidDel="00000000" w:rsidP="00000000" w:rsidRDefault="00000000" w:rsidRPr="00000000" w14:paraId="00000032">
      <w:pPr>
        <w:pStyle w:val="Heading2"/>
        <w:numPr>
          <w:ilvl w:val="0"/>
          <w:numId w:val="5"/>
        </w:numPr>
        <w:pBdr>
          <w:top w:color="auto" w:space="0" w:sz="0" w:val="none"/>
          <w:bottom w:color="auto" w:space="0" w:sz="0" w:val="none"/>
          <w:between w:color="auto" w:space="0" w:sz="0" w:val="none"/>
        </w:pBdr>
        <w:spacing w:after="0" w:before="0" w:lineRule="auto"/>
        <w:ind w:left="720" w:hanging="360"/>
        <w:rPr>
          <w:rFonts w:ascii="Times" w:cs="Times" w:eastAsia="Times" w:hAnsi="Times"/>
        </w:rPr>
      </w:pPr>
      <w:bookmarkStart w:colFirst="0" w:colLast="0" w:name="_7y46t5lzf5nu" w:id="7"/>
      <w:bookmarkEnd w:id="7"/>
      <w:r w:rsidDel="00000000" w:rsidR="00000000" w:rsidRPr="00000000">
        <w:rPr>
          <w:rFonts w:ascii="Times" w:cs="Times" w:eastAsia="Times" w:hAnsi="Times"/>
          <w:sz w:val="24"/>
          <w:szCs w:val="24"/>
          <w:rtl w:val="0"/>
        </w:rPr>
        <w:t xml:space="preserve">Methodological template for other jurisdictions: The pipeline—cleaning reportable disease data, storing it in a relational database, and building an interactive BI dashboard—is generalizable and can be replicated for other U.S. states, Kenyan counties, or hospital systems using their own surveillance datasets, enabling more standardized disease intelligence across settings.​</w:t>
      </w:r>
    </w:p>
    <w:p w:rsidR="00000000" w:rsidDel="00000000" w:rsidP="00000000" w:rsidRDefault="00000000" w:rsidRPr="00000000" w14:paraId="00000033">
      <w:pPr>
        <w:pStyle w:val="Heading2"/>
        <w:numPr>
          <w:ilvl w:val="0"/>
          <w:numId w:val="5"/>
        </w:numPr>
        <w:pBdr>
          <w:top w:color="auto" w:space="0" w:sz="0" w:val="none"/>
          <w:bottom w:color="auto" w:space="0" w:sz="0" w:val="none"/>
          <w:between w:color="auto" w:space="0" w:sz="0" w:val="none"/>
        </w:pBdr>
        <w:spacing w:after="0" w:before="0" w:lineRule="auto"/>
        <w:ind w:left="720" w:hanging="360"/>
        <w:rPr>
          <w:rFonts w:ascii="Times" w:cs="Times" w:eastAsia="Times" w:hAnsi="Times"/>
        </w:rPr>
      </w:pPr>
      <w:bookmarkStart w:colFirst="0" w:colLast="0" w:name="_dhgh2kn6vayk" w:id="8"/>
      <w:bookmarkEnd w:id="8"/>
      <w:r w:rsidDel="00000000" w:rsidR="00000000" w:rsidRPr="00000000">
        <w:rPr>
          <w:rFonts w:ascii="Times" w:cs="Times" w:eastAsia="Times" w:hAnsi="Times"/>
          <w:sz w:val="24"/>
          <w:szCs w:val="24"/>
          <w:rtl w:val="0"/>
        </w:rPr>
        <w:t xml:space="preserve">Communication and advocacy: Simple, intuitive visuals (trend lines, yearly bars, and KPI cards) make it easier to communicate disease trends to non‑technical stakeholders such as hospital leadership, local health authorities, or policymakers, helping justify investments in screening, vaccination, and prevention programs.​</w:t>
      </w:r>
    </w:p>
    <w:p w:rsidR="00000000" w:rsidDel="00000000" w:rsidP="00000000" w:rsidRDefault="00000000" w:rsidRPr="00000000" w14:paraId="00000034">
      <w:pPr>
        <w:pStyle w:val="Heading2"/>
        <w:rPr>
          <w:rFonts w:ascii="Times" w:cs="Times" w:eastAsia="Times" w:hAnsi="Times"/>
        </w:rPr>
      </w:pPr>
      <w:bookmarkStart w:colFirst="0" w:colLast="0" w:name="_6k5ihnkrn2yg" w:id="9"/>
      <w:bookmarkEnd w:id="9"/>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rFonts w:ascii="Times" w:cs="Times" w:eastAsia="Times" w:hAnsi="Times"/>
        </w:rPr>
      </w:pPr>
      <w:bookmarkStart w:colFirst="0" w:colLast="0" w:name="_7y46t5lzf5nu" w:id="7"/>
      <w:bookmarkEnd w:id="7"/>
      <w:r w:rsidDel="00000000" w:rsidR="00000000" w:rsidRPr="00000000">
        <w:rPr>
          <w:rFonts w:ascii="Times" w:cs="Times" w:eastAsia="Times" w:hAnsi="Times"/>
          <w:rtl w:val="0"/>
        </w:rPr>
        <w:t xml:space="preserve">Important links</w:t>
      </w:r>
    </w:p>
    <w:p w:rsidR="00000000" w:rsidDel="00000000" w:rsidP="00000000" w:rsidRDefault="00000000" w:rsidRPr="00000000" w14:paraId="00000037">
      <w:pPr>
        <w:numPr>
          <w:ilvl w:val="0"/>
          <w:numId w:val="4"/>
        </w:numPr>
        <w:ind w:left="720" w:hanging="360"/>
        <w:rPr>
          <w:rFonts w:ascii="Times" w:cs="Times" w:eastAsia="Times" w:hAnsi="Times"/>
        </w:rPr>
      </w:pPr>
      <w:hyperlink r:id="rId7">
        <w:r w:rsidDel="00000000" w:rsidR="00000000" w:rsidRPr="00000000">
          <w:rPr>
            <w:rFonts w:ascii="Times" w:cs="Times" w:eastAsia="Times" w:hAnsi="Times"/>
            <w:color w:val="1155cc"/>
            <w:u w:val="single"/>
            <w:rtl w:val="0"/>
          </w:rPr>
          <w:t xml:space="preserve">https://healthdata.gov/State/Oregon-s-Weekly-Reportable-Disease-Data/2d7z-zc2r/about_data</w:t>
        </w:r>
      </w:hyperlink>
      <w:r w:rsidDel="00000000" w:rsidR="00000000" w:rsidRPr="00000000">
        <w:rPr>
          <w:rtl w:val="0"/>
        </w:rPr>
      </w:r>
    </w:p>
    <w:p w:rsidR="00000000" w:rsidDel="00000000" w:rsidP="00000000" w:rsidRDefault="00000000" w:rsidRPr="00000000" w14:paraId="00000038">
      <w:pPr>
        <w:numPr>
          <w:ilvl w:val="0"/>
          <w:numId w:val="4"/>
        </w:numPr>
        <w:spacing w:after="0" w:afterAutospacing="0" w:line="240" w:lineRule="auto"/>
        <w:ind w:left="720" w:hanging="360"/>
        <w:jc w:val="both"/>
        <w:rPr>
          <w:rFonts w:ascii="Times" w:cs="Times" w:eastAsia="Times" w:hAnsi="Times"/>
          <w:sz w:val="21"/>
          <w:szCs w:val="21"/>
        </w:rPr>
      </w:pPr>
      <w:hyperlink r:id="rId8">
        <w:r w:rsidDel="00000000" w:rsidR="00000000" w:rsidRPr="00000000">
          <w:rPr>
            <w:rFonts w:ascii="Times" w:cs="Times" w:eastAsia="Times" w:hAnsi="Times"/>
            <w:color w:val="1155cc"/>
            <w:sz w:val="21"/>
            <w:szCs w:val="21"/>
            <w:highlight w:val="white"/>
            <w:u w:val="single"/>
            <w:rtl w:val="0"/>
          </w:rPr>
          <w:t xml:space="preserve">www.linkedin.com/in/ken-k-macharia</w:t>
        </w:r>
      </w:hyperlink>
      <w:r w:rsidDel="00000000" w:rsidR="00000000" w:rsidRPr="00000000">
        <w:rPr>
          <w:rtl w:val="0"/>
        </w:rPr>
      </w:r>
    </w:p>
    <w:p w:rsidR="00000000" w:rsidDel="00000000" w:rsidP="00000000" w:rsidRDefault="00000000" w:rsidRPr="00000000" w14:paraId="00000039">
      <w:pPr>
        <w:numPr>
          <w:ilvl w:val="0"/>
          <w:numId w:val="4"/>
        </w:numPr>
        <w:spacing w:after="0" w:afterAutospacing="0" w:line="240" w:lineRule="auto"/>
        <w:ind w:left="720" w:hanging="360"/>
        <w:jc w:val="both"/>
        <w:rPr>
          <w:rFonts w:ascii="Times" w:cs="Times" w:eastAsia="Times" w:hAnsi="Times"/>
          <w:sz w:val="21"/>
          <w:szCs w:val="21"/>
        </w:rPr>
      </w:pPr>
      <w:hyperlink r:id="rId9">
        <w:r w:rsidDel="00000000" w:rsidR="00000000" w:rsidRPr="00000000">
          <w:rPr>
            <w:rFonts w:ascii="Times" w:cs="Times" w:eastAsia="Times" w:hAnsi="Times"/>
            <w:color w:val="1155cc"/>
            <w:sz w:val="21"/>
            <w:szCs w:val="21"/>
            <w:highlight w:val="white"/>
            <w:u w:val="single"/>
            <w:rtl w:val="0"/>
          </w:rPr>
          <w:t xml:space="preserve">https://github.com/K3nnKM/Oregon-Reportable-Diseases</w:t>
        </w:r>
      </w:hyperlink>
      <w:r w:rsidDel="00000000" w:rsidR="00000000" w:rsidRPr="00000000">
        <w:rPr>
          <w:rtl w:val="0"/>
        </w:rPr>
      </w:r>
    </w:p>
    <w:p w:rsidR="00000000" w:rsidDel="00000000" w:rsidP="00000000" w:rsidRDefault="00000000" w:rsidRPr="00000000" w14:paraId="0000003A">
      <w:pPr>
        <w:numPr>
          <w:ilvl w:val="0"/>
          <w:numId w:val="4"/>
        </w:numPr>
        <w:spacing w:after="210" w:line="240" w:lineRule="auto"/>
        <w:ind w:left="720" w:hanging="360"/>
        <w:jc w:val="both"/>
        <w:rPr>
          <w:rFonts w:ascii="Times" w:cs="Times" w:eastAsia="Times" w:hAnsi="Times"/>
          <w:sz w:val="21"/>
          <w:szCs w:val="21"/>
        </w:rPr>
      </w:pPr>
      <w:hyperlink r:id="rId10">
        <w:r w:rsidDel="00000000" w:rsidR="00000000" w:rsidRPr="00000000">
          <w:rPr>
            <w:rFonts w:ascii="Times" w:cs="Times" w:eastAsia="Times" w:hAnsi="Times"/>
            <w:color w:val="1155cc"/>
            <w:sz w:val="21"/>
            <w:szCs w:val="21"/>
            <w:u w:val="single"/>
            <w:rtl w:val="0"/>
          </w:rPr>
          <w:t xml:space="preserve">https://kenmacharia.carrd.co/</w:t>
        </w:r>
      </w:hyperlink>
      <w:r w:rsidDel="00000000" w:rsidR="00000000" w:rsidRPr="00000000">
        <w:rPr>
          <w:rtl w:val="0"/>
        </w:rPr>
      </w:r>
    </w:p>
    <w:p w:rsidR="00000000" w:rsidDel="00000000" w:rsidP="00000000" w:rsidRDefault="00000000" w:rsidRPr="00000000" w14:paraId="0000003B">
      <w:pPr>
        <w:spacing w:after="210" w:line="240"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3C">
      <w:pPr>
        <w:spacing w:after="210" w:line="240" w:lineRule="auto"/>
        <w:jc w:val="both"/>
        <w:rPr>
          <w:rFonts w:ascii="Times" w:cs="Times" w:eastAsia="Times" w:hAnsi="Times"/>
        </w:rPr>
      </w:pPr>
      <w:r w:rsidDel="00000000" w:rsidR="00000000" w:rsidRPr="00000000">
        <w:rPr>
          <w:rFonts w:ascii="Times" w:cs="Times" w:eastAsia="Times" w:hAnsi="Times"/>
        </w:rPr>
        <w:drawing>
          <wp:inline distB="114300" distT="114300" distL="114300" distR="114300">
            <wp:extent cx="5731200" cy="3225800"/>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10" w:line="240" w:lineRule="auto"/>
        <w:jc w:val="both"/>
        <w:rPr>
          <w:rFonts w:ascii="Times" w:cs="Times" w:eastAsia="Times" w:hAnsi="Times"/>
        </w:rPr>
      </w:pPr>
      <w:r w:rsidDel="00000000" w:rsidR="00000000" w:rsidRPr="00000000">
        <w:rPr>
          <w:rFonts w:ascii="Times" w:cs="Times" w:eastAsia="Times" w:hAnsi="Times"/>
        </w:rPr>
        <w:drawing>
          <wp:inline distB="114300" distT="114300" distL="114300" distR="114300">
            <wp:extent cx="5731200" cy="34290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210" w:line="240" w:lineRule="auto"/>
        <w:jc w:val="both"/>
        <w:rPr>
          <w:rFonts w:ascii="Times" w:cs="Times" w:eastAsia="Times" w:hAnsi="Times"/>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rFonts w:ascii="Roboto" w:cs="Roboto" w:eastAsia="Roboto" w:hAnsi="Roboto"/>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rFonts w:ascii="Roboto" w:cs="Roboto" w:eastAsia="Roboto" w:hAnsi="Roboto"/>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hyperlink" Target="https://kenmacharia.carrd.co/" TargetMode="External"/><Relationship Id="rId12" Type="http://schemas.openxmlformats.org/officeDocument/2006/relationships/image" Target="media/image1.png"/><Relationship Id="rId9" Type="http://schemas.openxmlformats.org/officeDocument/2006/relationships/hyperlink" Target="https://github.com/K3nnKM/Oregon-Reportable-Diseases" TargetMode="External"/><Relationship Id="rId5" Type="http://schemas.openxmlformats.org/officeDocument/2006/relationships/styles" Target="styles.xml"/><Relationship Id="rId6" Type="http://schemas.openxmlformats.org/officeDocument/2006/relationships/hyperlink" Target="https://healthdata.gov/State/Oregon-s-Weekly-Reportable-Disease-Data/2d7z-zc2r/about_data" TargetMode="External"/><Relationship Id="rId7" Type="http://schemas.openxmlformats.org/officeDocument/2006/relationships/hyperlink" Target="https://healthdata.gov/State/Oregon-s-Weekly-Reportable-Disease-Data/2d7z-zc2r/about_data" TargetMode="External"/><Relationship Id="rId8" Type="http://schemas.openxmlformats.org/officeDocument/2006/relationships/hyperlink" Target="http://www.linkedin.com/in/ken-k-machari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