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rFonts w:ascii="Times" w:cs="Times" w:eastAsia="Times" w:hAnsi="Times"/>
          <w:b w:val="1"/>
          <w:bCs w:val="1"/>
        </w:rPr>
      </w:pPr>
      <w:bookmarkStart w:colFirst="0" w:colLast="0" w:name="_se05dthnjql6" w:id="0"/>
      <w:bookmarkEnd w:id="0"/>
      <w:r w:rsidDel="00000000" w:rsidR="00000000" w:rsidRPr="00000000">
        <w:rPr>
          <w:rFonts w:ascii="Times" w:cs="Times" w:eastAsia="Times" w:hAnsi="Times"/>
          <w:b w:val="1"/>
          <w:bCs w:val="1"/>
          <w:rtl w:val="0"/>
        </w:rPr>
        <w:t xml:space="preserve">Oregon Reportable Diseases Data Project.</w:t>
      </w:r>
    </w:p>
    <w:p w:rsidR="00000000" w:rsidDel="00000000" w:rsidP="00000000" w:rsidRDefault="00000000" w:rsidRPr="00000000" w14:paraId="00000002">
      <w:pPr>
        <w:pStyle w:val="Heading2"/>
        <w:keepNext w:val="0"/>
        <w:keepLines w:val="0"/>
        <w:spacing w:after="80" w:lineRule="auto"/>
        <w:rPr>
          <w:rFonts w:ascii="Times" w:cs="Times" w:eastAsia="Times" w:hAnsi="Times"/>
          <w:b w:val="1"/>
          <w:bCs w:val="1"/>
          <w:sz w:val="34"/>
          <w:szCs w:val="34"/>
        </w:rPr>
      </w:pPr>
      <w:bookmarkStart w:colFirst="0" w:colLast="0" w:name="_1967r1g6kbx1" w:id="1"/>
      <w:bookmarkEnd w:id="1"/>
      <w:r w:rsidDel="00000000" w:rsidR="00000000" w:rsidRPr="00000000">
        <w:rPr>
          <w:rFonts w:ascii="Times" w:cs="Times" w:eastAsia="Times" w:hAnsi="Times"/>
          <w:b w:val="1"/>
          <w:bCs w:val="1"/>
          <w:sz w:val="34"/>
          <w:szCs w:val="34"/>
          <w:rtl w:val="0"/>
        </w:rPr>
        <w:t xml:space="preserve">Project overview</w:t>
      </w:r>
    </w:p>
    <w:p w:rsidR="00000000" w:rsidDel="00000000" w:rsidP="00000000" w:rsidRDefault="00000000" w:rsidRPr="00000000" w14:paraId="00000003">
      <w:pPr>
        <w:spacing w:after="120" w:before="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This project analyzes weekly reportable communicable diseases in Oregon from 2020–2026 using a time‑series dashboard built on MySQL and Power BI.​</w:t>
      </w:r>
    </w:p>
    <w:p w:rsidR="00000000" w:rsidDel="00000000" w:rsidP="00000000" w:rsidRDefault="00000000" w:rsidRPr="00000000" w14:paraId="00000004">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Times" w:cs="Times" w:eastAsia="Times" w:hAnsi="Times"/>
          <w:b w:val="1"/>
          <w:bCs w:val="1"/>
          <w:sz w:val="34"/>
          <w:szCs w:val="34"/>
        </w:rPr>
      </w:pPr>
      <w:bookmarkStart w:colFirst="0" w:colLast="0" w:name="_q45zsc1wfkf5" w:id="2"/>
      <w:bookmarkEnd w:id="2"/>
      <w:r w:rsidDel="00000000" w:rsidR="00000000" w:rsidRPr="00000000">
        <w:rPr>
          <w:rFonts w:ascii="Times" w:cs="Times" w:eastAsia="Times" w:hAnsi="Times"/>
          <w:b w:val="1"/>
          <w:bCs w:val="1"/>
          <w:sz w:val="34"/>
          <w:szCs w:val="34"/>
          <w:rtl w:val="0"/>
        </w:rPr>
        <w:t xml:space="preserve">Data and methods</w:t>
      </w:r>
    </w:p>
    <w:p w:rsidR="00000000" w:rsidDel="00000000" w:rsidP="00000000" w:rsidRDefault="00000000" w:rsidRPr="00000000" w14:paraId="00000006">
      <w:pPr>
        <w:numPr>
          <w:ilvl w:val="0"/>
          <w:numId w:val="6"/>
        </w:numPr>
        <w:pBdr>
          <w:top w:color="auto" w:space="0" w:sz="0" w:val="none"/>
          <w:bottom w:color="auto" w:space="0" w:sz="0" w:val="none"/>
          <w:between w:color="auto" w:space="0" w:sz="0" w:val="none"/>
        </w:pBdr>
        <w:ind w:left="720" w:hanging="360"/>
        <w:rPr>
          <w:rFonts w:ascii="Times" w:cs="Times" w:eastAsia="Times" w:hAnsi="Times"/>
        </w:rPr>
      </w:pPr>
      <w:r w:rsidDel="00000000" w:rsidR="00000000" w:rsidRPr="00000000">
        <w:rPr>
          <w:rFonts w:ascii="Times" w:cs="Times" w:eastAsia="Times" w:hAnsi="Times"/>
          <w:sz w:val="24"/>
          <w:szCs w:val="24"/>
          <w:rtl w:val="0"/>
        </w:rPr>
        <w:t xml:space="preserve">Data source: Weekly Oregon reportable disease surveillance. </w:t>
      </w:r>
      <w:hyperlink r:id="rId6">
        <w:r w:rsidDel="00000000" w:rsidR="00000000" w:rsidRPr="00000000">
          <w:rPr>
            <w:rFonts w:ascii="Times" w:cs="Times" w:eastAsia="Times" w:hAnsi="Times"/>
            <w:color w:val="1155cc"/>
            <w:sz w:val="24"/>
            <w:szCs w:val="24"/>
            <w:u w:val="single"/>
            <w:rtl w:val="0"/>
          </w:rPr>
          <w:t xml:space="preserve">Here is the link to the original dataset.</w:t>
        </w:r>
      </w:hyperlink>
      <w:r w:rsidDel="00000000" w:rsidR="00000000" w:rsidRPr="00000000">
        <w:rPr>
          <w:rtl w:val="0"/>
        </w:rPr>
      </w:r>
    </w:p>
    <w:p w:rsidR="00000000" w:rsidDel="00000000" w:rsidP="00000000" w:rsidRDefault="00000000" w:rsidRPr="00000000" w14:paraId="00000007">
      <w:pPr>
        <w:pBdr>
          <w:top w:color="auto" w:space="0" w:sz="0" w:val="none"/>
          <w:bottom w:color="auto" w:space="0" w:sz="0" w:val="none"/>
          <w:between w:color="auto" w:space="0" w:sz="0" w:val="none"/>
        </w:pBdr>
        <w:ind w:left="72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8">
      <w:pPr>
        <w:numPr>
          <w:ilvl w:val="0"/>
          <w:numId w:val="6"/>
        </w:numPr>
        <w:pBdr>
          <w:top w:color="auto" w:space="0" w:sz="0" w:val="none"/>
          <w:bottom w:color="auto" w:space="0" w:sz="0" w:val="none"/>
          <w:between w:color="auto" w:space="0" w:sz="0" w:val="none"/>
        </w:pBdr>
        <w:spacing w:after="0" w:afterAutospacing="0"/>
        <w:ind w:left="720" w:hanging="360"/>
        <w:rPr>
          <w:rFonts w:ascii="Times" w:cs="Times" w:eastAsia="Times" w:hAnsi="Times"/>
        </w:rPr>
      </w:pPr>
      <w:r w:rsidDel="00000000" w:rsidR="00000000" w:rsidRPr="00000000">
        <w:rPr>
          <w:rFonts w:ascii="Times" w:cs="Times" w:eastAsia="Times" w:hAnsi="Times"/>
          <w:sz w:val="24"/>
          <w:szCs w:val="24"/>
          <w:rtl w:val="0"/>
        </w:rPr>
        <w:t xml:space="preserve">Storage and cleaning:</w:t>
      </w:r>
    </w:p>
    <w:p w:rsidR="00000000" w:rsidDel="00000000" w:rsidP="00000000" w:rsidRDefault="00000000" w:rsidRPr="00000000" w14:paraId="00000009">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Times" w:cs="Times" w:eastAsia="Times" w:hAnsi="Times"/>
          <w:sz w:val="24"/>
          <w:szCs w:val="24"/>
          <w:rtl w:val="0"/>
        </w:rPr>
        <w:t xml:space="preserve">The original dataset was cleaned in Excel (date formatting to </w:t>
      </w:r>
      <w:r w:rsidDel="00000000" w:rsidR="00000000" w:rsidRPr="00000000">
        <w:rPr>
          <w:rFonts w:ascii="Times" w:cs="Times" w:eastAsia="Times" w:hAnsi="Times"/>
          <w:color w:val="188038"/>
          <w:sz w:val="21"/>
          <w:szCs w:val="21"/>
          <w:rtl w:val="0"/>
        </w:rPr>
        <w:t xml:space="preserve">yyyy-mm-dd</w:t>
      </w:r>
      <w:r w:rsidDel="00000000" w:rsidR="00000000" w:rsidRPr="00000000">
        <w:rPr>
          <w:rFonts w:ascii="Times" w:cs="Times" w:eastAsia="Times" w:hAnsi="Times"/>
          <w:sz w:val="24"/>
          <w:szCs w:val="24"/>
          <w:rtl w:val="0"/>
        </w:rPr>
        <w:t xml:space="preserve">) and loaded into a MySQL table </w:t>
      </w:r>
      <w:r w:rsidDel="00000000" w:rsidR="00000000" w:rsidRPr="00000000">
        <w:rPr>
          <w:rFonts w:ascii="Times" w:cs="Times" w:eastAsia="Times" w:hAnsi="Times"/>
          <w:color w:val="188038"/>
          <w:sz w:val="21"/>
          <w:szCs w:val="21"/>
          <w:rtl w:val="0"/>
        </w:rPr>
        <w:t xml:space="preserve">oregon_diseases</w:t>
      </w:r>
      <w:r w:rsidDel="00000000" w:rsidR="00000000" w:rsidRPr="00000000">
        <w:rPr>
          <w:rFonts w:ascii="Times" w:cs="Times" w:eastAsia="Times" w:hAnsi="Times"/>
          <w:sz w:val="24"/>
          <w:szCs w:val="24"/>
          <w:rtl w:val="0"/>
        </w:rPr>
        <w:t xml:space="preserve"> using </w:t>
      </w:r>
      <w:r w:rsidDel="00000000" w:rsidR="00000000" w:rsidRPr="00000000">
        <w:rPr>
          <w:rFonts w:ascii="Times" w:cs="Times" w:eastAsia="Times" w:hAnsi="Times"/>
          <w:color w:val="188038"/>
          <w:sz w:val="21"/>
          <w:szCs w:val="21"/>
          <w:rtl w:val="0"/>
        </w:rPr>
        <w:t xml:space="preserve">LOAD DATA LOCAL INFILE</w:t>
      </w:r>
      <w:r w:rsidDel="00000000" w:rsidR="00000000" w:rsidRPr="00000000">
        <w:rPr>
          <w:rFonts w:ascii="Times" w:cs="Times" w:eastAsia="Times" w:hAnsi="Times"/>
          <w:sz w:val="24"/>
          <w:szCs w:val="24"/>
          <w:rtl w:val="0"/>
        </w:rPr>
        <w:t xml:space="preserve"> for aggregate analysis.</w:t>
      </w:r>
      <w:r w:rsidDel="00000000" w:rsidR="00000000" w:rsidRPr="00000000">
        <w:rPr>
          <w:rtl w:val="0"/>
        </w:rPr>
      </w:r>
    </w:p>
    <w:p w:rsidR="00000000" w:rsidDel="00000000" w:rsidP="00000000" w:rsidRDefault="00000000" w:rsidRPr="00000000" w14:paraId="0000000A">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Redundant reporting‑metadata columns were dropped; key columns were retained.​</w:t>
      </w:r>
    </w:p>
    <w:p w:rsidR="00000000" w:rsidDel="00000000" w:rsidP="00000000" w:rsidRDefault="00000000" w:rsidRPr="00000000" w14:paraId="0000000B">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The remaining rows were renamed accordingly and re-coded into the appropriate values..​</w:t>
      </w:r>
    </w:p>
    <w:p w:rsidR="00000000" w:rsidDel="00000000" w:rsidP="00000000" w:rsidRDefault="00000000" w:rsidRPr="00000000" w14:paraId="0000000C">
      <w:pPr>
        <w:numPr>
          <w:ilvl w:val="0"/>
          <w:numId w:val="6"/>
        </w:numPr>
        <w:pBdr>
          <w:top w:color="auto" w:space="0" w:sz="0" w:val="none"/>
          <w:bottom w:color="auto" w:space="0" w:sz="0" w:val="none"/>
          <w:between w:color="auto" w:space="0" w:sz="0" w:val="none"/>
        </w:pBdr>
        <w:spacing w:after="0" w:afterAutospacing="0"/>
        <w:ind w:left="720" w:hanging="360"/>
        <w:rPr>
          <w:rFonts w:ascii="Times" w:cs="Times" w:eastAsia="Times" w:hAnsi="Times"/>
        </w:rPr>
      </w:pPr>
      <w:r w:rsidDel="00000000" w:rsidR="00000000" w:rsidRPr="00000000">
        <w:rPr>
          <w:rFonts w:ascii="Times" w:cs="Times" w:eastAsia="Times" w:hAnsi="Times"/>
          <w:sz w:val="24"/>
          <w:szCs w:val="24"/>
          <w:rtl w:val="0"/>
        </w:rPr>
        <w:t xml:space="preserve">SQL analysis:</w:t>
      </w:r>
    </w:p>
    <w:p w:rsidR="00000000" w:rsidDel="00000000" w:rsidP="00000000" w:rsidRDefault="00000000" w:rsidRPr="00000000" w14:paraId="0000000D">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Aggregation queries in MySQL produced total cases by disease, annual totals by disease and year, and weekly time‑series tables exported for visualization.​</w:t>
      </w:r>
    </w:p>
    <w:p w:rsidR="00000000" w:rsidDel="00000000" w:rsidP="00000000" w:rsidRDefault="00000000" w:rsidRPr="00000000" w14:paraId="0000000E">
      <w:pPr>
        <w:numPr>
          <w:ilvl w:val="0"/>
          <w:numId w:val="6"/>
        </w:numPr>
        <w:pBdr>
          <w:top w:color="auto" w:space="0" w:sz="0" w:val="none"/>
          <w:bottom w:color="auto" w:space="0" w:sz="0" w:val="none"/>
          <w:between w:color="auto" w:space="0" w:sz="0" w:val="none"/>
        </w:pBdr>
        <w:spacing w:after="0" w:afterAutospacing="0"/>
        <w:ind w:left="720" w:hanging="360"/>
        <w:rPr>
          <w:rFonts w:ascii="Times" w:cs="Times" w:eastAsia="Times" w:hAnsi="Times"/>
        </w:rPr>
      </w:pPr>
      <w:r w:rsidDel="00000000" w:rsidR="00000000" w:rsidRPr="00000000">
        <w:rPr>
          <w:rFonts w:ascii="Times" w:cs="Times" w:eastAsia="Times" w:hAnsi="Times"/>
          <w:sz w:val="24"/>
          <w:szCs w:val="24"/>
          <w:rtl w:val="0"/>
        </w:rPr>
        <w:t xml:space="preserve">Visualization stack:</w:t>
      </w:r>
    </w:p>
    <w:p w:rsidR="00000000" w:rsidDel="00000000" w:rsidP="00000000" w:rsidRDefault="00000000" w:rsidRPr="00000000" w14:paraId="0000000F">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I used Power BI Desktop connected directly to MySQL to import data for the visualization.</w:t>
      </w:r>
    </w:p>
    <w:p w:rsidR="00000000" w:rsidDel="00000000" w:rsidP="00000000" w:rsidRDefault="00000000" w:rsidRPr="00000000" w14:paraId="00000010">
      <w:pPr>
        <w:numPr>
          <w:ilvl w:val="1"/>
          <w:numId w:val="6"/>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A report page was built with cards (total and average annual cases), weekly </w:t>
      </w:r>
      <w:r w:rsidDel="00000000" w:rsidR="00000000" w:rsidRPr="00000000">
        <w:rPr>
          <w:rFonts w:ascii="Times" w:cs="Times" w:eastAsia="Times" w:hAnsi="Times"/>
          <w:sz w:val="24"/>
          <w:szCs w:val="24"/>
          <w:rtl w:val="0"/>
        </w:rPr>
        <w:t xml:space="preserve">time‑series</w:t>
      </w:r>
      <w:r w:rsidDel="00000000" w:rsidR="00000000" w:rsidRPr="00000000">
        <w:rPr>
          <w:rFonts w:ascii="Times" w:cs="Times" w:eastAsia="Times" w:hAnsi="Times"/>
          <w:sz w:val="24"/>
          <w:szCs w:val="24"/>
          <w:rtl w:val="0"/>
        </w:rPr>
        <w:t xml:space="preserve"> line chart with trend line, yearly bar chart, and a detailed table, all controlled by slicers for disease, year, and date.</w:t>
      </w:r>
    </w:p>
    <w:p w:rsidR="00000000" w:rsidDel="00000000" w:rsidP="00000000" w:rsidRDefault="00000000" w:rsidRPr="00000000" w14:paraId="00000011">
      <w:pPr>
        <w:numPr>
          <w:ilvl w:val="1"/>
          <w:numId w:val="6"/>
        </w:numPr>
        <w:pBdr>
          <w:top w:color="auto" w:space="0" w:sz="0" w:val="none"/>
          <w:bottom w:color="auto" w:space="0" w:sz="0" w:val="none"/>
          <w:between w:color="auto" w:space="0" w:sz="0" w:val="none"/>
        </w:pBdr>
        <w:spacing w:after="18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After building the original dashboard in Power BI, I recreated the same analysis in Tableau Public to show how a solid data model and epidemiologic framing can travel across tools.</w:t>
      </w:r>
    </w:p>
    <w:p w:rsidR="00000000" w:rsidDel="00000000" w:rsidP="00000000" w:rsidRDefault="00000000" w:rsidRPr="00000000" w14:paraId="00000012">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w:cs="Times" w:eastAsia="Times" w:hAnsi="Times"/>
          <w:b w:val="1"/>
          <w:bCs w:val="1"/>
          <w:sz w:val="34"/>
          <w:szCs w:val="34"/>
        </w:rPr>
      </w:pPr>
      <w:bookmarkStart w:colFirst="0" w:colLast="0" w:name="_2gp1pim83ua7" w:id="3"/>
      <w:bookmarkEnd w:id="3"/>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Times" w:cs="Times" w:eastAsia="Times" w:hAnsi="Times"/>
          <w:b w:val="1"/>
          <w:bCs w:val="1"/>
          <w:sz w:val="34"/>
          <w:szCs w:val="34"/>
        </w:rPr>
      </w:pPr>
      <w:bookmarkStart w:colFirst="0" w:colLast="0" w:name="_kiv101ffgl70" w:id="4"/>
      <w:bookmarkEnd w:id="4"/>
      <w:r w:rsidDel="00000000" w:rsidR="00000000" w:rsidRPr="00000000">
        <w:rPr>
          <w:rFonts w:ascii="Times" w:cs="Times" w:eastAsia="Times" w:hAnsi="Times"/>
          <w:b w:val="1"/>
          <w:bCs w:val="1"/>
          <w:sz w:val="34"/>
          <w:szCs w:val="34"/>
          <w:rtl w:val="0"/>
        </w:rPr>
        <w:t xml:space="preserve">Dashboard design</w:t>
      </w:r>
    </w:p>
    <w:p w:rsidR="00000000" w:rsidDel="00000000" w:rsidP="00000000" w:rsidRDefault="00000000" w:rsidRPr="00000000" w14:paraId="00000015">
      <w:pPr>
        <w:spacing w:after="120" w:before="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The final dashboard includes:​</w:t>
      </w:r>
    </w:p>
    <w:p w:rsidR="00000000" w:rsidDel="00000000" w:rsidP="00000000" w:rsidRDefault="00000000" w:rsidRPr="00000000" w14:paraId="00000016">
      <w:pPr>
        <w:numPr>
          <w:ilvl w:val="0"/>
          <w:numId w:val="2"/>
        </w:numPr>
        <w:pBdr>
          <w:top w:color="auto" w:space="0" w:sz="0" w:val="none"/>
          <w:bottom w:color="auto" w:space="0" w:sz="0" w:val="none"/>
          <w:between w:color="auto" w:space="0" w:sz="0" w:val="none"/>
        </w:pBdr>
        <w:spacing w:after="0" w:afterAutospacing="0"/>
        <w:ind w:left="720" w:hanging="360"/>
        <w:rPr>
          <w:rFonts w:ascii="Times" w:cs="Times" w:eastAsia="Times" w:hAnsi="Times"/>
        </w:rPr>
      </w:pPr>
      <w:r w:rsidDel="00000000" w:rsidR="00000000" w:rsidRPr="00000000">
        <w:rPr>
          <w:rFonts w:ascii="Times" w:cs="Times" w:eastAsia="Times" w:hAnsi="Times"/>
          <w:sz w:val="24"/>
          <w:szCs w:val="24"/>
          <w:rtl w:val="0"/>
        </w:rPr>
        <w:t xml:space="preserve">Filters (slicers):</w:t>
      </w:r>
    </w:p>
    <w:p w:rsidR="00000000" w:rsidDel="00000000" w:rsidP="00000000" w:rsidRDefault="00000000" w:rsidRPr="00000000" w14:paraId="00000017">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Disease selector (default focus: Chlamydia).</w:t>
      </w:r>
    </w:p>
    <w:p w:rsidR="00000000" w:rsidDel="00000000" w:rsidP="00000000" w:rsidRDefault="00000000" w:rsidRPr="00000000" w14:paraId="00000018">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Year range.</w:t>
      </w:r>
    </w:p>
    <w:p w:rsidR="00000000" w:rsidDel="00000000" w:rsidP="00000000" w:rsidRDefault="00000000" w:rsidRPr="00000000" w14:paraId="00000019">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Week start date range.</w:t>
      </w:r>
    </w:p>
    <w:p w:rsidR="00000000" w:rsidDel="00000000" w:rsidP="00000000" w:rsidRDefault="00000000" w:rsidRPr="00000000" w14:paraId="0000001A">
      <w:pPr>
        <w:numPr>
          <w:ilvl w:val="0"/>
          <w:numId w:val="2"/>
        </w:numPr>
        <w:pBdr>
          <w:top w:color="auto" w:space="0" w:sz="0" w:val="none"/>
          <w:bottom w:color="auto" w:space="0" w:sz="0" w:val="none"/>
          <w:between w:color="auto" w:space="0" w:sz="0" w:val="none"/>
        </w:pBdr>
        <w:spacing w:after="0" w:afterAutospacing="0"/>
        <w:ind w:left="720" w:hanging="360"/>
        <w:rPr>
          <w:rFonts w:ascii="Times" w:cs="Times" w:eastAsia="Times" w:hAnsi="Times"/>
        </w:rPr>
      </w:pPr>
      <w:r w:rsidDel="00000000" w:rsidR="00000000" w:rsidRPr="00000000">
        <w:rPr>
          <w:rFonts w:ascii="Times" w:cs="Times" w:eastAsia="Times" w:hAnsi="Times"/>
          <w:sz w:val="24"/>
          <w:szCs w:val="24"/>
          <w:rtl w:val="0"/>
        </w:rPr>
        <w:t xml:space="preserve">Key indicators:</w:t>
      </w:r>
    </w:p>
    <w:p w:rsidR="00000000" w:rsidDel="00000000" w:rsidP="00000000" w:rsidRDefault="00000000" w:rsidRPr="00000000" w14:paraId="0000001B">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“Total Cases This Year” – The total number of cases per disease for the selected year(s).</w:t>
      </w:r>
    </w:p>
    <w:p w:rsidR="00000000" w:rsidDel="00000000" w:rsidP="00000000" w:rsidRDefault="00000000" w:rsidRPr="00000000" w14:paraId="0000001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“Average Annual Cases” – mean yearly disease burden across the selected years.</w:t>
      </w:r>
    </w:p>
    <w:p w:rsidR="00000000" w:rsidDel="00000000" w:rsidP="00000000" w:rsidRDefault="00000000" w:rsidRPr="00000000" w14:paraId="0000001D">
      <w:pPr>
        <w:numPr>
          <w:ilvl w:val="0"/>
          <w:numId w:val="2"/>
        </w:numPr>
        <w:pBdr>
          <w:top w:color="auto" w:space="0" w:sz="0" w:val="none"/>
          <w:bottom w:color="auto" w:space="0" w:sz="0" w:val="none"/>
          <w:between w:color="auto" w:space="0" w:sz="0" w:val="none"/>
        </w:pBdr>
        <w:spacing w:after="0" w:afterAutospacing="0"/>
        <w:ind w:left="720" w:hanging="360"/>
        <w:rPr>
          <w:rFonts w:ascii="Times" w:cs="Times" w:eastAsia="Times" w:hAnsi="Times"/>
        </w:rPr>
      </w:pPr>
      <w:r w:rsidDel="00000000" w:rsidR="00000000" w:rsidRPr="00000000">
        <w:rPr>
          <w:rFonts w:ascii="Times" w:cs="Times" w:eastAsia="Times" w:hAnsi="Times"/>
          <w:sz w:val="24"/>
          <w:szCs w:val="24"/>
          <w:rtl w:val="0"/>
        </w:rPr>
        <w:t xml:space="preserve">Visuals:</w:t>
      </w:r>
    </w:p>
    <w:p w:rsidR="00000000" w:rsidDel="00000000" w:rsidP="00000000" w:rsidRDefault="00000000" w:rsidRPr="00000000" w14:paraId="0000001E">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Weekly line chart of total cases over time with a linear trend line to highlight long‑term direction.</w:t>
      </w:r>
    </w:p>
    <w:p w:rsidR="00000000" w:rsidDel="00000000" w:rsidP="00000000" w:rsidRDefault="00000000" w:rsidRPr="00000000" w14:paraId="0000001F">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Bar chart of annual total cases by year to summarize the yearly disease burden.</w:t>
      </w:r>
    </w:p>
    <w:p w:rsidR="00000000" w:rsidDel="00000000" w:rsidP="00000000" w:rsidRDefault="00000000" w:rsidRPr="00000000" w14:paraId="00000020">
      <w:pPr>
        <w:numPr>
          <w:ilvl w:val="1"/>
          <w:numId w:val="2"/>
        </w:numPr>
        <w:pBdr>
          <w:top w:color="auto" w:space="0" w:sz="0" w:val="none"/>
          <w:bottom w:color="auto" w:space="0" w:sz="0" w:val="none"/>
          <w:between w:color="auto" w:space="0" w:sz="0" w:val="none"/>
        </w:pBdr>
        <w:spacing w:after="18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Detail table listing weekly counts by week and disease for quality checks and drill‑down.</w:t>
      </w:r>
    </w:p>
    <w:p w:rsidR="00000000" w:rsidDel="00000000" w:rsidP="00000000" w:rsidRDefault="00000000" w:rsidRPr="00000000" w14:paraId="00000021">
      <w:pPr>
        <w:spacing w:after="120" w:before="1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All visuals respond to the slicers, allowing rapid comparison of different diseases or time windows in a single view.</w:t>
      </w:r>
    </w:p>
    <w:p w:rsidR="00000000" w:rsidDel="00000000" w:rsidP="00000000" w:rsidRDefault="00000000" w:rsidRPr="00000000" w14:paraId="00000022">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w:cs="Times" w:eastAsia="Times" w:hAnsi="Times"/>
          <w:b w:val="1"/>
          <w:bCs w:val="1"/>
          <w:sz w:val="34"/>
          <w:szCs w:val="34"/>
        </w:rPr>
      </w:pPr>
      <w:bookmarkStart w:colFirst="0" w:colLast="0" w:name="_651ar5j4bqve" w:id="5"/>
      <w:bookmarkEnd w:id="5"/>
      <w:r w:rsidDel="00000000" w:rsidR="00000000" w:rsidRPr="00000000">
        <w:rPr>
          <w:rFonts w:ascii="Times" w:cs="Times" w:eastAsia="Times" w:hAnsi="Times"/>
          <w:b w:val="1"/>
          <w:bCs w:val="1"/>
          <w:sz w:val="34"/>
          <w:szCs w:val="34"/>
          <w:rtl w:val="0"/>
        </w:rPr>
        <w:t xml:space="preserve">Key findings</w:t>
      </w:r>
    </w:p>
    <w:p w:rsidR="00000000" w:rsidDel="00000000" w:rsidP="00000000" w:rsidRDefault="00000000" w:rsidRPr="00000000" w14:paraId="00000024">
      <w:pPr>
        <w:numPr>
          <w:ilvl w:val="0"/>
          <w:numId w:val="3"/>
        </w:numPr>
        <w:pBdr>
          <w:top w:color="auto" w:space="0" w:sz="0" w:val="none"/>
          <w:bottom w:color="auto" w:space="0" w:sz="0" w:val="none"/>
          <w:between w:color="auto" w:space="0" w:sz="0" w:val="none"/>
        </w:pBdr>
        <w:ind w:left="720" w:hanging="360"/>
        <w:rPr>
          <w:rFonts w:ascii="Times" w:cs="Times" w:eastAsia="Times" w:hAnsi="Times"/>
        </w:rPr>
      </w:pPr>
      <w:r w:rsidDel="00000000" w:rsidR="00000000" w:rsidRPr="00000000">
        <w:rPr>
          <w:rFonts w:ascii="Times" w:cs="Times" w:eastAsia="Times" w:hAnsi="Times"/>
          <w:sz w:val="24"/>
          <w:szCs w:val="24"/>
          <w:rtl w:val="0"/>
        </w:rPr>
        <w:t xml:space="preserve">Overall burden: Across all reportable conditions in the dataset, Oregon recorded roughly 176,000 cases between 2020 and early 2026, reflecting a substantial and sustained communicable‑disease burden in the state.​</w:t>
      </w:r>
    </w:p>
    <w:p w:rsidR="00000000" w:rsidDel="00000000" w:rsidP="00000000" w:rsidRDefault="00000000" w:rsidRPr="00000000" w14:paraId="00000025">
      <w:pPr>
        <w:numPr>
          <w:ilvl w:val="0"/>
          <w:numId w:val="3"/>
        </w:numPr>
        <w:pBdr>
          <w:top w:color="auto" w:space="0" w:sz="0" w:val="none"/>
          <w:bottom w:color="auto" w:space="0" w:sz="0" w:val="none"/>
          <w:between w:color="auto" w:space="0" w:sz="0" w:val="none"/>
        </w:pBdr>
        <w:ind w:left="720" w:hanging="360"/>
        <w:rPr>
          <w:rFonts w:ascii="Times" w:cs="Times" w:eastAsia="Times" w:hAnsi="Times"/>
        </w:rPr>
      </w:pPr>
      <w:r w:rsidDel="00000000" w:rsidR="00000000" w:rsidRPr="00000000">
        <w:rPr>
          <w:rFonts w:ascii="Times" w:cs="Times" w:eastAsia="Times" w:hAnsi="Times"/>
          <w:sz w:val="24"/>
          <w:szCs w:val="24"/>
          <w:rtl w:val="0"/>
        </w:rPr>
        <w:t xml:space="preserve">Leading conditions: Sexually transmitted infections (notably Chlamydia and Gonorrhea) and selected enteric infections (such as Campylobacteriosis and Salmonellosis) contribute the largest share of total reported cases, consistently appearing at the top of annual disease rankings.​</w:t>
      </w:r>
    </w:p>
    <w:p w:rsidR="00000000" w:rsidDel="00000000" w:rsidP="00000000" w:rsidRDefault="00000000" w:rsidRPr="00000000" w14:paraId="00000026">
      <w:pPr>
        <w:numPr>
          <w:ilvl w:val="0"/>
          <w:numId w:val="3"/>
        </w:numPr>
        <w:pBdr>
          <w:top w:color="auto" w:space="0" w:sz="0" w:val="none"/>
          <w:bottom w:color="auto" w:space="0" w:sz="0" w:val="none"/>
          <w:between w:color="auto" w:space="0" w:sz="0" w:val="none"/>
        </w:pBdr>
        <w:ind w:left="720" w:hanging="360"/>
        <w:rPr>
          <w:rFonts w:ascii="Times" w:cs="Times" w:eastAsia="Times" w:hAnsi="Times"/>
        </w:rPr>
      </w:pPr>
      <w:r w:rsidDel="00000000" w:rsidR="00000000" w:rsidRPr="00000000">
        <w:rPr>
          <w:rFonts w:ascii="Times" w:cs="Times" w:eastAsia="Times" w:hAnsi="Times"/>
          <w:sz w:val="24"/>
          <w:szCs w:val="24"/>
          <w:rtl w:val="0"/>
        </w:rPr>
        <w:t xml:space="preserve">Year‑to‑year patterns: Annual totals remain high across the period, with modest variation by year; some conditions such as Chlamydia and Gonorrhea show gradual declines or plateaus, while others maintain stable or rising trends when viewed in the yearly bar chart (Tuberculosis and Childhood Lead Poisoning).</w:t>
      </w:r>
    </w:p>
    <w:p w:rsidR="00000000" w:rsidDel="00000000" w:rsidP="00000000" w:rsidRDefault="00000000" w:rsidRPr="00000000" w14:paraId="00000027">
      <w:pPr>
        <w:numPr>
          <w:ilvl w:val="0"/>
          <w:numId w:val="3"/>
        </w:numPr>
        <w:pBdr>
          <w:top w:color="auto" w:space="0" w:sz="0" w:val="none"/>
          <w:bottom w:color="auto" w:space="0" w:sz="0" w:val="none"/>
          <w:between w:color="auto" w:space="0" w:sz="0" w:val="none"/>
        </w:pBdr>
        <w:ind w:left="720" w:hanging="360"/>
        <w:rPr>
          <w:rFonts w:ascii="Times" w:cs="Times" w:eastAsia="Times" w:hAnsi="Times"/>
        </w:rPr>
      </w:pPr>
      <w:r w:rsidDel="00000000" w:rsidR="00000000" w:rsidRPr="00000000">
        <w:rPr>
          <w:rFonts w:ascii="Times" w:cs="Times" w:eastAsia="Times" w:hAnsi="Times"/>
          <w:sz w:val="24"/>
          <w:szCs w:val="24"/>
          <w:rtl w:val="0"/>
        </w:rPr>
        <w:t xml:space="preserve">Weekly dynamics: Weekly time‑series plots demonstrate persistent baseline transmission for common STIs and recurrent seasonal peaks for several enteric and vector‑borne diseases, with occasional sharp weekly spikes that could be consistent with localized outbreaks or clusters.​</w:t>
      </w:r>
    </w:p>
    <w:p w:rsidR="00000000" w:rsidDel="00000000" w:rsidP="00000000" w:rsidRDefault="00000000" w:rsidRPr="00000000" w14:paraId="00000028">
      <w:pPr>
        <w:numPr>
          <w:ilvl w:val="0"/>
          <w:numId w:val="3"/>
        </w:numPr>
        <w:pBdr>
          <w:top w:color="auto" w:space="0" w:sz="0" w:val="none"/>
          <w:bottom w:color="auto" w:space="0" w:sz="0" w:val="none"/>
          <w:between w:color="auto" w:space="0" w:sz="0" w:val="none"/>
        </w:pBdr>
        <w:ind w:left="720" w:hanging="360"/>
        <w:rPr>
          <w:rFonts w:ascii="Times" w:cs="Times" w:eastAsia="Times" w:hAnsi="Times"/>
        </w:rPr>
      </w:pPr>
      <w:r w:rsidDel="00000000" w:rsidR="00000000" w:rsidRPr="00000000">
        <w:rPr>
          <w:rFonts w:ascii="Times" w:cs="Times" w:eastAsia="Times" w:hAnsi="Times"/>
          <w:sz w:val="24"/>
          <w:szCs w:val="24"/>
          <w:rtl w:val="0"/>
        </w:rPr>
        <w:t xml:space="preserve">Surveillance sensitivity and data quality: The presence of small‑number suppression (“1 to 5” counts), zero‑case weeks for typically rare diseases, and variation in the mix of diseases reported over time highlights both the strengths and limitations of routine surveillance data for fine‑grained epidemiologic inference.</w:t>
      </w:r>
    </w:p>
    <w:p w:rsidR="00000000" w:rsidDel="00000000" w:rsidP="00000000" w:rsidRDefault="00000000" w:rsidRPr="00000000" w14:paraId="00000029">
      <w:pPr>
        <w:spacing w:after="120" w:before="120" w:lineRule="auto"/>
        <w:rPr>
          <w:rFonts w:ascii="Times" w:cs="Times" w:eastAsia="Times" w:hAnsi="Times"/>
        </w:rPr>
      </w:pPr>
      <w:r w:rsidDel="00000000" w:rsidR="00000000" w:rsidRPr="00000000">
        <w:rPr>
          <w:rtl w:val="0"/>
        </w:rPr>
      </w:r>
    </w:p>
    <w:p w:rsidR="00000000" w:rsidDel="00000000" w:rsidP="00000000" w:rsidRDefault="00000000" w:rsidRPr="00000000" w14:paraId="0000002A">
      <w:pPr>
        <w:rPr>
          <w:rFonts w:ascii="Times" w:cs="Times" w:eastAsia="Times" w:hAnsi="Time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rFonts w:ascii="Times" w:cs="Times" w:eastAsia="Times" w:hAnsi="Times"/>
          <w:b w:val="1"/>
          <w:bCs w:val="1"/>
          <w:sz w:val="34"/>
          <w:szCs w:val="34"/>
        </w:rPr>
      </w:pPr>
      <w:bookmarkStart w:colFirst="0" w:colLast="0" w:name="_mytmw9gxj0xo" w:id="6"/>
      <w:bookmarkEnd w:id="6"/>
      <w:r w:rsidDel="00000000" w:rsidR="00000000" w:rsidRPr="00000000">
        <w:rPr>
          <w:rFonts w:ascii="Times" w:cs="Times" w:eastAsia="Times" w:hAnsi="Times"/>
          <w:b w:val="1"/>
          <w:bCs w:val="1"/>
          <w:sz w:val="34"/>
          <w:szCs w:val="34"/>
          <w:rtl w:val="0"/>
        </w:rPr>
        <w:t xml:space="preserve">Interpretation and limitations</w:t>
      </w:r>
    </w:p>
    <w:p w:rsidR="00000000" w:rsidDel="00000000" w:rsidP="00000000" w:rsidRDefault="00000000" w:rsidRPr="00000000" w14:paraId="0000002C">
      <w:pPr>
        <w:numPr>
          <w:ilvl w:val="0"/>
          <w:numId w:val="1"/>
        </w:numPr>
        <w:pBdr>
          <w:top w:color="auto" w:space="0" w:sz="0" w:val="none"/>
          <w:bottom w:color="auto" w:space="0" w:sz="0" w:val="none"/>
          <w:between w:color="auto" w:space="0" w:sz="0" w:val="none"/>
        </w:pBdr>
        <w:ind w:left="720" w:hanging="360"/>
        <w:rPr>
          <w:rFonts w:ascii="Times" w:cs="Times" w:eastAsia="Times" w:hAnsi="Times"/>
        </w:rPr>
      </w:pPr>
      <w:r w:rsidDel="00000000" w:rsidR="00000000" w:rsidRPr="00000000">
        <w:rPr>
          <w:rFonts w:ascii="Times" w:cs="Times" w:eastAsia="Times" w:hAnsi="Times"/>
          <w:sz w:val="24"/>
          <w:szCs w:val="24"/>
          <w:rtl w:val="0"/>
        </w:rPr>
        <w:t xml:space="preserve">The dashboard illustrates how routine surveillance data can be used for quick situational awareness on high‑burden diseases such as Chlamydia, showing both long‑term trends and short‑term fluctuations by week.​</w:t>
      </w:r>
    </w:p>
    <w:p w:rsidR="00000000" w:rsidDel="00000000" w:rsidP="00000000" w:rsidRDefault="00000000" w:rsidRPr="00000000" w14:paraId="0000002D">
      <w:pPr>
        <w:numPr>
          <w:ilvl w:val="0"/>
          <w:numId w:val="1"/>
        </w:numPr>
        <w:pBdr>
          <w:top w:color="auto" w:space="0" w:sz="0" w:val="none"/>
          <w:bottom w:color="auto" w:space="0" w:sz="0" w:val="none"/>
          <w:between w:color="auto" w:space="0" w:sz="0" w:val="none"/>
        </w:pBdr>
        <w:ind w:left="720" w:hanging="360"/>
        <w:rPr>
          <w:rFonts w:ascii="Times" w:cs="Times" w:eastAsia="Times" w:hAnsi="Times"/>
        </w:rPr>
      </w:pPr>
      <w:r w:rsidDel="00000000" w:rsidR="00000000" w:rsidRPr="00000000">
        <w:rPr>
          <w:rFonts w:ascii="Times" w:cs="Times" w:eastAsia="Times" w:hAnsi="Times"/>
          <w:sz w:val="24"/>
          <w:szCs w:val="24"/>
          <w:rtl w:val="0"/>
        </w:rPr>
        <w:t xml:space="preserve">The dataset captures reported cases rather than true incidence; under‑diagnosis, under‑reporting, and changes in case definitions or reporting practices over time may influence trends.​</w:t>
      </w:r>
    </w:p>
    <w:p w:rsidR="00000000" w:rsidDel="00000000" w:rsidP="00000000" w:rsidRDefault="00000000" w:rsidRPr="00000000" w14:paraId="0000002E">
      <w:pPr>
        <w:numPr>
          <w:ilvl w:val="0"/>
          <w:numId w:val="1"/>
        </w:numPr>
        <w:pBdr>
          <w:top w:color="auto" w:space="0" w:sz="0" w:val="none"/>
          <w:bottom w:color="auto" w:space="0" w:sz="0" w:val="none"/>
          <w:between w:color="auto" w:space="0" w:sz="0" w:val="none"/>
        </w:pBdr>
        <w:ind w:left="720" w:hanging="360"/>
        <w:rPr>
          <w:rFonts w:ascii="Times" w:cs="Times" w:eastAsia="Times" w:hAnsi="Times"/>
        </w:rPr>
      </w:pPr>
      <w:r w:rsidDel="00000000" w:rsidR="00000000" w:rsidRPr="00000000">
        <w:rPr>
          <w:rFonts w:ascii="Times" w:cs="Times" w:eastAsia="Times" w:hAnsi="Times"/>
          <w:sz w:val="24"/>
          <w:szCs w:val="24"/>
          <w:rtl w:val="0"/>
        </w:rPr>
        <w:t xml:space="preserve">Small‑number suppression (e.g., “1 to 5” re-coded to a single value) introduces some uncertainty for low‑incidence diseases but has limited impact on high‑volume conditions.​</w:t>
      </w:r>
    </w:p>
    <w:p w:rsidR="00000000" w:rsidDel="00000000" w:rsidP="00000000" w:rsidRDefault="00000000" w:rsidRPr="00000000" w14:paraId="0000002F">
      <w:pPr>
        <w:pBdr>
          <w:top w:color="auto" w:space="0" w:sz="0" w:val="none"/>
          <w:bottom w:color="auto" w:space="0" w:sz="0" w:val="none"/>
          <w:between w:color="auto" w:space="0" w:sz="0" w:val="none"/>
        </w:pBd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0">
      <w:pPr>
        <w:pStyle w:val="Heading2"/>
        <w:spacing w:after="80" w:before="0" w:lineRule="auto"/>
        <w:rPr>
          <w:rFonts w:ascii="Times" w:cs="Times" w:eastAsia="Times" w:hAnsi="Times"/>
          <w:b w:val="1"/>
          <w:bCs w:val="1"/>
          <w:sz w:val="34"/>
          <w:szCs w:val="34"/>
        </w:rPr>
      </w:pPr>
      <w:bookmarkStart w:colFirst="0" w:colLast="0" w:name="_lmdsco1ycwii" w:id="7"/>
      <w:bookmarkEnd w:id="7"/>
      <w:r w:rsidDel="00000000" w:rsidR="00000000" w:rsidRPr="00000000">
        <w:rPr>
          <w:rFonts w:ascii="Times" w:cs="Times" w:eastAsia="Times" w:hAnsi="Times"/>
          <w:b w:val="1"/>
          <w:bCs w:val="1"/>
          <w:sz w:val="34"/>
          <w:szCs w:val="34"/>
          <w:rtl w:val="0"/>
        </w:rPr>
        <w:t xml:space="preserve">Potential uses and benefits</w:t>
      </w:r>
    </w:p>
    <w:p w:rsidR="00000000" w:rsidDel="00000000" w:rsidP="00000000" w:rsidRDefault="00000000" w:rsidRPr="00000000" w14:paraId="00000031">
      <w:pPr>
        <w:pStyle w:val="Heading2"/>
        <w:numPr>
          <w:ilvl w:val="0"/>
          <w:numId w:val="5"/>
        </w:numPr>
        <w:pBdr>
          <w:top w:color="auto" w:space="0" w:sz="0" w:val="none"/>
          <w:bottom w:color="auto" w:space="0" w:sz="0" w:val="none"/>
          <w:between w:color="auto" w:space="0" w:sz="0" w:val="none"/>
        </w:pBdr>
        <w:spacing w:after="0" w:before="0" w:lineRule="auto"/>
        <w:ind w:left="720" w:hanging="360"/>
        <w:rPr>
          <w:rFonts w:ascii="Times" w:cs="Times" w:eastAsia="Times" w:hAnsi="Times"/>
        </w:rPr>
      </w:pPr>
      <w:bookmarkStart w:colFirst="0" w:colLast="0" w:name="_7y46t5lzf5nu" w:id="8"/>
      <w:bookmarkEnd w:id="8"/>
      <w:r w:rsidDel="00000000" w:rsidR="00000000" w:rsidRPr="00000000">
        <w:rPr>
          <w:rFonts w:ascii="Times" w:cs="Times" w:eastAsia="Times" w:hAnsi="Times"/>
          <w:sz w:val="24"/>
          <w:szCs w:val="24"/>
          <w:rtl w:val="0"/>
        </w:rPr>
        <w:t xml:space="preserve">Routine situational awareness: A weekly, filterable dashboard lets public‑health teams rapidly see which diseases are currently driving the highest burden, how this compares to previous years, and whether unusual spikes are emerging that may require investigation or response.​</w:t>
      </w:r>
    </w:p>
    <w:p w:rsidR="00000000" w:rsidDel="00000000" w:rsidP="00000000" w:rsidRDefault="00000000" w:rsidRPr="00000000" w14:paraId="00000032">
      <w:pPr>
        <w:pStyle w:val="Heading2"/>
        <w:numPr>
          <w:ilvl w:val="0"/>
          <w:numId w:val="5"/>
        </w:numPr>
        <w:pBdr>
          <w:top w:color="auto" w:space="0" w:sz="0" w:val="none"/>
          <w:bottom w:color="auto" w:space="0" w:sz="0" w:val="none"/>
          <w:between w:color="auto" w:space="0" w:sz="0" w:val="none"/>
        </w:pBdr>
        <w:spacing w:after="0" w:before="0" w:lineRule="auto"/>
        <w:ind w:left="720" w:hanging="360"/>
        <w:rPr>
          <w:rFonts w:ascii="Times" w:cs="Times" w:eastAsia="Times" w:hAnsi="Times"/>
        </w:rPr>
      </w:pPr>
      <w:bookmarkStart w:colFirst="0" w:colLast="0" w:name="_7y46t5lzf5nu" w:id="8"/>
      <w:bookmarkEnd w:id="8"/>
      <w:r w:rsidDel="00000000" w:rsidR="00000000" w:rsidRPr="00000000">
        <w:rPr>
          <w:rFonts w:ascii="Times" w:cs="Times" w:eastAsia="Times" w:hAnsi="Times"/>
          <w:sz w:val="24"/>
          <w:szCs w:val="24"/>
          <w:rtl w:val="0"/>
        </w:rPr>
        <w:t xml:space="preserve">Early outbreak detection and monitoring: Visualizing weekly time series with trend lines and peaks supports faster recognition of abnormal increases in specific diseases, helping to trigger targeted case finding, contact tracing, or environmental investigations, and to monitor whether interventions are reducing incidence over subsequent weeks.​</w:t>
      </w:r>
    </w:p>
    <w:p w:rsidR="00000000" w:rsidDel="00000000" w:rsidP="00000000" w:rsidRDefault="00000000" w:rsidRPr="00000000" w14:paraId="00000033">
      <w:pPr>
        <w:pStyle w:val="Heading2"/>
        <w:numPr>
          <w:ilvl w:val="0"/>
          <w:numId w:val="5"/>
        </w:numPr>
        <w:pBdr>
          <w:top w:color="auto" w:space="0" w:sz="0" w:val="none"/>
          <w:bottom w:color="auto" w:space="0" w:sz="0" w:val="none"/>
          <w:between w:color="auto" w:space="0" w:sz="0" w:val="none"/>
        </w:pBdr>
        <w:spacing w:after="0" w:before="0" w:lineRule="auto"/>
        <w:ind w:left="720" w:hanging="360"/>
        <w:rPr>
          <w:rFonts w:ascii="Times" w:cs="Times" w:eastAsia="Times" w:hAnsi="Times"/>
        </w:rPr>
      </w:pPr>
      <w:bookmarkStart w:colFirst="0" w:colLast="0" w:name="_7y46t5lzf5nu" w:id="8"/>
      <w:bookmarkEnd w:id="8"/>
      <w:r w:rsidDel="00000000" w:rsidR="00000000" w:rsidRPr="00000000">
        <w:rPr>
          <w:rFonts w:ascii="Times" w:cs="Times" w:eastAsia="Times" w:hAnsi="Times"/>
          <w:sz w:val="24"/>
          <w:szCs w:val="24"/>
          <w:rtl w:val="0"/>
        </w:rPr>
        <w:t xml:space="preserve">Forecasting and planning: Exporting the weekly aggregated data from this dashboard into statistical tools (Python, R) allows time‑series models (e.g., ARIMA, exponential smoothing) to be fit and forecast future case counts, supporting resource planning for clinics, laboratories, and public‑health programs.​</w:t>
      </w:r>
    </w:p>
    <w:p w:rsidR="00000000" w:rsidDel="00000000" w:rsidP="00000000" w:rsidRDefault="00000000" w:rsidRPr="00000000" w14:paraId="00000034">
      <w:pPr>
        <w:pStyle w:val="Heading2"/>
        <w:numPr>
          <w:ilvl w:val="0"/>
          <w:numId w:val="5"/>
        </w:numPr>
        <w:pBdr>
          <w:top w:color="auto" w:space="0" w:sz="0" w:val="none"/>
          <w:bottom w:color="auto" w:space="0" w:sz="0" w:val="none"/>
          <w:between w:color="auto" w:space="0" w:sz="0" w:val="none"/>
        </w:pBdr>
        <w:spacing w:after="0" w:before="0" w:lineRule="auto"/>
        <w:ind w:left="720" w:hanging="360"/>
        <w:rPr>
          <w:rFonts w:ascii="Times" w:cs="Times" w:eastAsia="Times" w:hAnsi="Times"/>
        </w:rPr>
      </w:pPr>
      <w:bookmarkStart w:colFirst="0" w:colLast="0" w:name="_7y46t5lzf5nu" w:id="8"/>
      <w:bookmarkEnd w:id="8"/>
      <w:r w:rsidDel="00000000" w:rsidR="00000000" w:rsidRPr="00000000">
        <w:rPr>
          <w:rFonts w:ascii="Times" w:cs="Times" w:eastAsia="Times" w:hAnsi="Times"/>
          <w:sz w:val="24"/>
          <w:szCs w:val="24"/>
          <w:rtl w:val="0"/>
        </w:rPr>
        <w:t xml:space="preserve">Methodological template for other jurisdictions: The pipeline—cleaning reportable disease data, storing it in a relational database, and building an interactive BI dashboard—is generalizable and can be replicated for other U.S. states, Kenyan counties, or hospital systems using their own surveillance datasets, enabling more standardized disease intelligence across settings.​</w:t>
      </w:r>
    </w:p>
    <w:p w:rsidR="00000000" w:rsidDel="00000000" w:rsidP="00000000" w:rsidRDefault="00000000" w:rsidRPr="00000000" w14:paraId="00000035">
      <w:pPr>
        <w:pStyle w:val="Heading2"/>
        <w:numPr>
          <w:ilvl w:val="0"/>
          <w:numId w:val="5"/>
        </w:numPr>
        <w:pBdr>
          <w:top w:color="auto" w:space="0" w:sz="0" w:val="none"/>
          <w:bottom w:color="auto" w:space="0" w:sz="0" w:val="none"/>
          <w:between w:color="auto" w:space="0" w:sz="0" w:val="none"/>
        </w:pBdr>
        <w:spacing w:after="0" w:before="0" w:lineRule="auto"/>
        <w:ind w:left="720" w:hanging="360"/>
        <w:rPr>
          <w:rFonts w:ascii="Times" w:cs="Times" w:eastAsia="Times" w:hAnsi="Times"/>
        </w:rPr>
      </w:pPr>
      <w:bookmarkStart w:colFirst="0" w:colLast="0" w:name="_dhgh2kn6vayk" w:id="9"/>
      <w:bookmarkEnd w:id="9"/>
      <w:r w:rsidDel="00000000" w:rsidR="00000000" w:rsidRPr="00000000">
        <w:rPr>
          <w:rFonts w:ascii="Times" w:cs="Times" w:eastAsia="Times" w:hAnsi="Times"/>
          <w:sz w:val="24"/>
          <w:szCs w:val="24"/>
          <w:rtl w:val="0"/>
        </w:rPr>
        <w:t xml:space="preserve">Communication and advocacy: Simple, intuitive visuals (trend lines, yearly bars, and KPI cards) make it easier to communicate disease trends to non‑technical stakeholders such as hospital leadership, local health authorities, or policymakers, helping justify investments in screening, vaccination, and prevention programs.​</w:t>
      </w:r>
    </w:p>
    <w:p w:rsidR="00000000" w:rsidDel="00000000" w:rsidP="00000000" w:rsidRDefault="00000000" w:rsidRPr="00000000" w14:paraId="00000036">
      <w:pPr>
        <w:pStyle w:val="Heading2"/>
        <w:rPr>
          <w:rFonts w:ascii="Times" w:cs="Times" w:eastAsia="Times" w:hAnsi="Times"/>
        </w:rPr>
      </w:pPr>
      <w:bookmarkStart w:colFirst="0" w:colLast="0" w:name="_6k5ihnkrn2yg" w:id="10"/>
      <w:bookmarkEnd w:id="10"/>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rFonts w:ascii="Times" w:cs="Times" w:eastAsia="Times" w:hAnsi="Times"/>
        </w:rPr>
      </w:pPr>
      <w:bookmarkStart w:colFirst="0" w:colLast="0" w:name="_7y46t5lzf5nu" w:id="8"/>
      <w:bookmarkEnd w:id="8"/>
      <w:r w:rsidDel="00000000" w:rsidR="00000000" w:rsidRPr="00000000">
        <w:rPr>
          <w:rFonts w:ascii="Times" w:cs="Times" w:eastAsia="Times" w:hAnsi="Times"/>
          <w:rtl w:val="0"/>
        </w:rPr>
        <w:t xml:space="preserve">Important links</w:t>
      </w:r>
    </w:p>
    <w:p w:rsidR="00000000" w:rsidDel="00000000" w:rsidP="00000000" w:rsidRDefault="00000000" w:rsidRPr="00000000" w14:paraId="00000039">
      <w:pPr>
        <w:numPr>
          <w:ilvl w:val="0"/>
          <w:numId w:val="4"/>
        </w:numPr>
        <w:ind w:left="720" w:hanging="360"/>
        <w:rPr>
          <w:rFonts w:ascii="Times" w:cs="Times" w:eastAsia="Times" w:hAnsi="Times"/>
        </w:rPr>
      </w:pPr>
      <w:hyperlink r:id="rId7">
        <w:r w:rsidDel="00000000" w:rsidR="00000000" w:rsidRPr="00000000">
          <w:rPr>
            <w:rFonts w:ascii="Times" w:cs="Times" w:eastAsia="Times" w:hAnsi="Times"/>
            <w:color w:val="1155cc"/>
            <w:u w:val="single"/>
            <w:rtl w:val="0"/>
          </w:rPr>
          <w:t xml:space="preserve">https://healthdata.gov/State/Oregon-s-Weekly-Reportable-Disease-Data/2d7z-zc2r/about_data</w:t>
        </w:r>
      </w:hyperlink>
      <w:r w:rsidDel="00000000" w:rsidR="00000000" w:rsidRPr="00000000">
        <w:rPr>
          <w:rtl w:val="0"/>
        </w:rPr>
      </w:r>
    </w:p>
    <w:p w:rsidR="00000000" w:rsidDel="00000000" w:rsidP="00000000" w:rsidRDefault="00000000" w:rsidRPr="00000000" w14:paraId="0000003A">
      <w:pPr>
        <w:numPr>
          <w:ilvl w:val="0"/>
          <w:numId w:val="4"/>
        </w:numPr>
        <w:spacing w:after="0" w:afterAutospacing="0" w:line="240" w:lineRule="auto"/>
        <w:ind w:left="720" w:hanging="360"/>
        <w:jc w:val="both"/>
        <w:rPr>
          <w:rFonts w:ascii="Times" w:cs="Times" w:eastAsia="Times" w:hAnsi="Times"/>
          <w:sz w:val="21"/>
          <w:szCs w:val="21"/>
        </w:rPr>
      </w:pPr>
      <w:hyperlink r:id="rId8">
        <w:r w:rsidDel="00000000" w:rsidR="00000000" w:rsidRPr="00000000">
          <w:rPr>
            <w:rFonts w:ascii="Times" w:cs="Times" w:eastAsia="Times" w:hAnsi="Times"/>
            <w:color w:val="1155cc"/>
            <w:sz w:val="21"/>
            <w:szCs w:val="21"/>
            <w:highlight w:val="white"/>
            <w:u w:val="single"/>
            <w:rtl w:val="0"/>
          </w:rPr>
          <w:t xml:space="preserve">www.linkedin.com/in/ken-k-macharia</w:t>
        </w:r>
      </w:hyperlink>
      <w:r w:rsidDel="00000000" w:rsidR="00000000" w:rsidRPr="00000000">
        <w:rPr>
          <w:rtl w:val="0"/>
        </w:rPr>
      </w:r>
    </w:p>
    <w:p w:rsidR="00000000" w:rsidDel="00000000" w:rsidP="00000000" w:rsidRDefault="00000000" w:rsidRPr="00000000" w14:paraId="0000003B">
      <w:pPr>
        <w:numPr>
          <w:ilvl w:val="0"/>
          <w:numId w:val="4"/>
        </w:numPr>
        <w:spacing w:after="0" w:afterAutospacing="0" w:line="240" w:lineRule="auto"/>
        <w:ind w:left="720" w:hanging="360"/>
        <w:jc w:val="both"/>
        <w:rPr>
          <w:rFonts w:ascii="Times" w:cs="Times" w:eastAsia="Times" w:hAnsi="Times"/>
          <w:sz w:val="21"/>
          <w:szCs w:val="21"/>
        </w:rPr>
      </w:pPr>
      <w:hyperlink r:id="rId9">
        <w:r w:rsidDel="00000000" w:rsidR="00000000" w:rsidRPr="00000000">
          <w:rPr>
            <w:rFonts w:ascii="Times" w:cs="Times" w:eastAsia="Times" w:hAnsi="Times"/>
            <w:color w:val="1155cc"/>
            <w:sz w:val="21"/>
            <w:szCs w:val="21"/>
            <w:highlight w:val="white"/>
            <w:u w:val="single"/>
            <w:rtl w:val="0"/>
          </w:rPr>
          <w:t xml:space="preserve">https://github.com/K3nnKM/Oregon-Reportable-Diseases</w:t>
        </w:r>
      </w:hyperlink>
      <w:r w:rsidDel="00000000" w:rsidR="00000000" w:rsidRPr="00000000">
        <w:rPr>
          <w:rtl w:val="0"/>
        </w:rPr>
      </w:r>
    </w:p>
    <w:p w:rsidR="00000000" w:rsidDel="00000000" w:rsidP="00000000" w:rsidRDefault="00000000" w:rsidRPr="00000000" w14:paraId="0000003C">
      <w:pPr>
        <w:numPr>
          <w:ilvl w:val="0"/>
          <w:numId w:val="4"/>
        </w:numPr>
        <w:spacing w:after="0" w:afterAutospacing="0" w:line="240" w:lineRule="auto"/>
        <w:ind w:left="720" w:hanging="360"/>
        <w:jc w:val="both"/>
        <w:rPr>
          <w:rFonts w:ascii="Times" w:cs="Times" w:eastAsia="Times" w:hAnsi="Times"/>
          <w:sz w:val="21"/>
          <w:szCs w:val="21"/>
        </w:rPr>
      </w:pPr>
      <w:hyperlink r:id="rId10">
        <w:r w:rsidDel="00000000" w:rsidR="00000000" w:rsidRPr="00000000">
          <w:rPr>
            <w:rFonts w:ascii="Times" w:cs="Times" w:eastAsia="Times" w:hAnsi="Times"/>
            <w:color w:val="1155cc"/>
            <w:sz w:val="21"/>
            <w:szCs w:val="21"/>
            <w:u w:val="single"/>
            <w:rtl w:val="0"/>
          </w:rPr>
          <w:t xml:space="preserve">https://kenmacharia.carrd.co/</w:t>
        </w:r>
      </w:hyperlink>
      <w:r w:rsidDel="00000000" w:rsidR="00000000" w:rsidRPr="00000000">
        <w:rPr>
          <w:rtl w:val="0"/>
        </w:rPr>
      </w:r>
    </w:p>
    <w:p w:rsidR="00000000" w:rsidDel="00000000" w:rsidP="00000000" w:rsidRDefault="00000000" w:rsidRPr="00000000" w14:paraId="0000003D">
      <w:pPr>
        <w:numPr>
          <w:ilvl w:val="0"/>
          <w:numId w:val="4"/>
        </w:numPr>
        <w:spacing w:after="210" w:line="240" w:lineRule="auto"/>
        <w:ind w:left="720" w:hanging="360"/>
        <w:jc w:val="both"/>
        <w:rPr>
          <w:rFonts w:ascii="Times" w:cs="Times" w:eastAsia="Times" w:hAnsi="Times"/>
          <w:u w:val="none"/>
        </w:rPr>
      </w:pPr>
      <w:hyperlink r:id="rId11">
        <w:r w:rsidDel="00000000" w:rsidR="00000000" w:rsidRPr="00000000">
          <w:rPr>
            <w:rFonts w:ascii="Times" w:cs="Times" w:eastAsia="Times" w:hAnsi="Times"/>
            <w:color w:val="1155cc"/>
            <w:u w:val="single"/>
            <w:rtl w:val="0"/>
          </w:rPr>
          <w:t xml:space="preserve">https://public.tableau.com/views/OregonDashboard_17698489436970/Dashboard1?:language=en-GB&amp;:sid=&amp;:redirect=auth&amp;:display_count=n&amp;:origin=viz_share_link</w:t>
        </w:r>
      </w:hyperlink>
      <w:r w:rsidDel="00000000" w:rsidR="00000000" w:rsidRPr="00000000">
        <w:rPr>
          <w:rFonts w:ascii="Times" w:cs="Times" w:eastAsia="Times" w:hAnsi="Times"/>
          <w:rtl w:val="0"/>
        </w:rPr>
        <w:t xml:space="preserve"> </w:t>
      </w:r>
    </w:p>
    <w:p w:rsidR="00000000" w:rsidDel="00000000" w:rsidP="00000000" w:rsidRDefault="00000000" w:rsidRPr="00000000" w14:paraId="0000003E">
      <w:pPr>
        <w:spacing w:after="210" w:line="24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3F">
      <w:pPr>
        <w:spacing w:after="210" w:line="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10" w:line="240" w:lineRule="auto"/>
        <w:jc w:val="both"/>
        <w:rPr>
          <w:rFonts w:ascii="Times" w:cs="Times" w:eastAsia="Times" w:hAnsi="Times"/>
        </w:rPr>
      </w:pPr>
      <w:r w:rsidDel="00000000" w:rsidR="00000000" w:rsidRPr="00000000">
        <w:rPr>
          <w:rFonts w:ascii="Times" w:cs="Times" w:eastAsia="Times" w:hAnsi="Times"/>
        </w:rPr>
        <w:drawing>
          <wp:inline distB="114300" distT="114300" distL="114300" distR="114300">
            <wp:extent cx="5731200" cy="34290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10" w:line="240" w:lineRule="auto"/>
        <w:jc w:val="both"/>
        <w:rPr>
          <w:rFonts w:ascii="Times" w:cs="Times" w:eastAsia="Times" w:hAnsi="Time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ublic.tableau.com/views/OregonDashboard_17698489436970/Dashboard1?:language=en-GB&amp;:sid=&amp;:redirect=auth&amp;:display_count=n&amp;:origin=viz_share_link" TargetMode="External"/><Relationship Id="rId10" Type="http://schemas.openxmlformats.org/officeDocument/2006/relationships/hyperlink" Target="https://kenmacharia.carrd.co/"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K3nnKM/Oregon-Reportable-Diseases" TargetMode="External"/><Relationship Id="rId5" Type="http://schemas.openxmlformats.org/officeDocument/2006/relationships/styles" Target="styles.xml"/><Relationship Id="rId6" Type="http://schemas.openxmlformats.org/officeDocument/2006/relationships/hyperlink" Target="https://healthdata.gov/State/Oregon-s-Weekly-Reportable-Disease-Data/2d7z-zc2r/about_data" TargetMode="External"/><Relationship Id="rId7" Type="http://schemas.openxmlformats.org/officeDocument/2006/relationships/hyperlink" Target="https://healthdata.gov/State/Oregon-s-Weekly-Reportable-Disease-Data/2d7z-zc2r/about_data" TargetMode="External"/><Relationship Id="rId8" Type="http://schemas.openxmlformats.org/officeDocument/2006/relationships/hyperlink" Target="http://www.linkedin.com/in/ken-k-machar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