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A Next-Generation Learning Management System Powered by Retrieval-Augmented Generation Artificial Intelligence and Blockchain Credentialing</w:t>
      </w:r>
      <w:r w:rsidDel="00000000" w:rsidR="00000000" w:rsidRPr="00000000">
        <w:rPr>
          <w:rtl w:val="0"/>
        </w:rPr>
      </w:r>
    </w:p>
    <w:p w:rsidR="00000000" w:rsidDel="00000000" w:rsidP="00000000" w:rsidRDefault="00000000" w:rsidRPr="00000000" w14:paraId="0000000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of Information Technology Education</w:t>
      </w:r>
    </w:p>
    <w:p w:rsidR="00000000" w:rsidDel="00000000" w:rsidP="00000000" w:rsidRDefault="00000000" w:rsidRPr="00000000" w14:paraId="00000005">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de Dagupan</w:t>
      </w:r>
    </w:p>
    <w:p w:rsidR="00000000" w:rsidDel="00000000" w:rsidP="00000000" w:rsidRDefault="00000000" w:rsidRPr="00000000" w14:paraId="00000006">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Arellano St., Dagupan City</w:t>
      </w:r>
    </w:p>
    <w:p w:rsidR="00000000" w:rsidDel="00000000" w:rsidP="00000000" w:rsidRDefault="00000000" w:rsidRPr="00000000" w14:paraId="00000007">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IN</w:t>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TECHNOLOGY</w:t>
      </w:r>
    </w:p>
    <w:p w:rsidR="00000000" w:rsidDel="00000000" w:rsidP="00000000" w:rsidRDefault="00000000" w:rsidRPr="00000000" w14:paraId="0000000A">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to:</w:t>
      </w:r>
    </w:p>
    <w:p w:rsidR="00000000" w:rsidDel="00000000" w:rsidP="00000000" w:rsidRDefault="00000000" w:rsidRPr="00000000" w14:paraId="0000000D">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Mrs. Rochelle S. Lanto, MIT</w:t>
      </w:r>
    </w:p>
    <w:p w:rsidR="00000000" w:rsidDel="00000000" w:rsidP="00000000" w:rsidRDefault="00000000" w:rsidRPr="00000000" w14:paraId="0000000E">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School of Information Technology Education</w:t>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11">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Bautista, Kervy S.</w:t>
      </w:r>
    </w:p>
    <w:p w:rsidR="00000000" w:rsidDel="00000000" w:rsidP="00000000" w:rsidRDefault="00000000" w:rsidRPr="00000000" w14:paraId="00000012">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Serafica, France Aaron D.</w:t>
      </w:r>
    </w:p>
    <w:p w:rsidR="00000000" w:rsidDel="00000000" w:rsidP="00000000" w:rsidRDefault="00000000" w:rsidRPr="00000000" w14:paraId="0000001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Araos</w:t>
      </w:r>
      <w:r w:rsidDel="00000000" w:rsidR="00000000" w:rsidRPr="00000000">
        <w:rPr>
          <w:rFonts w:ascii="Times New Roman" w:cs="Times New Roman" w:eastAsia="Times New Roman" w:hAnsi="Times New Roman"/>
          <w:sz w:val="24"/>
          <w:szCs w:val="24"/>
          <w:highlight w:val="white"/>
          <w:rtl w:val="0"/>
        </w:rPr>
        <w:t xml:space="preserve">, Xhyrel C.</w:t>
      </w:r>
      <w:r w:rsidDel="00000000" w:rsidR="00000000" w:rsidRPr="00000000">
        <w:rPr>
          <w:rtl w:val="0"/>
        </w:rPr>
      </w:r>
    </w:p>
    <w:p w:rsidR="00000000" w:rsidDel="00000000" w:rsidP="00000000" w:rsidRDefault="00000000" w:rsidRPr="00000000" w14:paraId="0000001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Cercado, Trisha Mae P.</w:t>
      </w:r>
    </w:p>
    <w:p w:rsidR="00000000" w:rsidDel="00000000" w:rsidP="00000000" w:rsidRDefault="00000000" w:rsidRPr="00000000" w14:paraId="0000001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2026</w:t>
      </w:r>
    </w:p>
    <w:p w:rsidR="00000000" w:rsidDel="00000000" w:rsidP="00000000" w:rsidRDefault="00000000" w:rsidRPr="00000000" w14:paraId="00000017">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w:t>
      </w:r>
    </w:p>
    <w:p w:rsidR="00000000" w:rsidDel="00000000" w:rsidP="00000000" w:rsidRDefault="00000000" w:rsidRPr="00000000" w14:paraId="00000018">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A">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education system around the world is undergoing a major shift as digital tools become part of the daily classroom routine. Web-based Learning Management Systems (LMS) have driven much of this change, giving both teachers and students new ways to access learning materials (Al-Hawari et al., 2021). Rather than simply hosting files, these platforms serve as extensions of the classroom, where learning and communication occur continuously (Almusharraf, 2024). When utilized well, an LMS becomes a dynamic environment for creating and sharing knowledge.</w:t>
      </w:r>
    </w:p>
    <w:p w:rsidR="00000000" w:rsidDel="00000000" w:rsidP="00000000" w:rsidRDefault="00000000" w:rsidRPr="00000000" w14:paraId="0000001B">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Artificial Intelligence into LMS platforms has created new opportunities. Schools are adopting Large Language Models (LLMs) and intelligent tutors to automate content and personalize learning. However, these technologies face challenges. Standard AI models often have static knowledge gaps, making it difficult to represent a school's curriculum or teaching objectives effectively.</w:t>
      </w:r>
    </w:p>
    <w:p w:rsidR="00000000" w:rsidDel="00000000" w:rsidP="00000000" w:rsidRDefault="00000000" w:rsidRPr="00000000" w14:paraId="0000001C">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these systems has been substantial. Initially, e-learning platforms primarily served administrative functions such as user registration and basic reporting (Almusharraf, 2024). Over time, their capabilities expanded to accommodate more sophisticated functions. In the Philippines, the adoption of Learning Management Systems increased significantly to support distance learning between 2019 and 2023 (Borabo et al., 2024). This development facilitated a broader acceptance of flexible learning modalities that have persisted beyond the pandemic (Pentang et al., 2025). Consequently, these platforms have evolved from basic file repositories into fully interactive learning environments.</w:t>
      </w:r>
    </w:p>
    <w:p w:rsidR="00000000" w:rsidDel="00000000" w:rsidP="00000000" w:rsidRDefault="00000000" w:rsidRPr="00000000" w14:paraId="0000001D">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digital learning technologies advanced, the limitations of basic platforms became clear. Many systems lacked usability and failed to provide personalized student experiences (Al-Hawari et al., 2021). At the same time, academic credential verification shifted from paper to digital formats, but reliance on centralized servers introduced significant issues in terms of privacy and security risks (Reddy &amp; Kushwaha, 2023). Generative systems sometimes produce plausible but inaccurate answers that do not align with the curriculum. To address this, institutions are adopting Retrieval-Augmented Generation (RAG), which limits AI responses to a local verified knowledge base. This approach reduces hallucinations and ensures students receive accurate academic support (Li et al., 2025). RAG has proven effective in educational settings such as academic libraries (Xuan, 2026) and in high-stakes fields like healthcare, demonstrating its ability to reduce errors(Amugongo et al., 2025).</w:t>
      </w:r>
    </w:p>
    <w:p w:rsidR="00000000" w:rsidDel="00000000" w:rsidP="00000000" w:rsidRDefault="00000000" w:rsidRPr="00000000" w14:paraId="0000001E">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Alongside these developments, blockchain technology is offering a new way to record student achievements. In the Web3 space, non-transferable assets called "Soulbound Tokens" (SBTs)—originally introduced as the foundation for building a decentralized society (Ohlhaver et al., 2022)—are emerging as a secure standard for credentials (Reddy &amp; Kushwaha, 2023). By pairing SBTs with decentralized authentication, schools can issue digital badges that are impossible to tamper with (Boi et al., 2024). They securely document a student's academic progress and positive learning behavior without exposing personal data on centralized servers.</w:t>
      </w:r>
    </w:p>
    <w:p w:rsidR="00000000" w:rsidDel="00000000" w:rsidP="00000000" w:rsidRDefault="00000000" w:rsidRPr="00000000" w14:paraId="0000001F">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Bringing AI and blockchain together in a single LMS offers advantages that traditional platforms simply cannot match (Li et al., 2025; Sultana et al., 2023). For teachers, AI handles the administrative tasks and provides students with continuous, personalized tutoring. It also allows educators to spot struggling learners early through predictive analytics. Meanwhile, the blockchain component handles the credentialing. Distributed ledgers and smart contracts enable the issuance of secure micro-credentials that are immune to forgery (Sultana et al., 2023). This convergence keeps students engaged through adaptive AI while ensuring their achievements are permanently verifiable.</w:t>
      </w:r>
    </w:p>
    <w:p w:rsidR="00000000" w:rsidDel="00000000" w:rsidP="00000000" w:rsidRDefault="00000000" w:rsidRPr="00000000" w14:paraId="00000020">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these technologies also presents challenges. Encouraging students to use new systems requires careful oversight to ensure genuine learning (Sesmiarni et al., 2024). In the Philippines, studies show that many Grade 11 Senior High School students frequently use generic AI tools for academic tasks (Dida-Agun &amp; Abarquez, 2025). While this may increase efficiency, unregulated use can foster overreliance on technology, hinder critical thinking, and divert students from the intended syllabus.</w:t>
      </w:r>
    </w:p>
    <w:p w:rsidR="00000000" w:rsidDel="00000000" w:rsidP="00000000" w:rsidRDefault="00000000" w:rsidRPr="00000000" w14:paraId="00000021">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the risks to academic integrity and data privacy, the Philippine educational sector is taking regulatory steps. The Basic Education Development Plan 2030 calls for innovative tech solutions (PBEd &amp; Department of Education, 2022), and recent guidelines from the Department of Education (2026) regarding DepEd Order No. 003 mandate that AI in basic education must be safe, ethical, and used only as a supplementary tool.</w:t>
      </w:r>
    </w:p>
    <w:p w:rsidR="00000000" w:rsidDel="00000000" w:rsidP="00000000" w:rsidRDefault="00000000" w:rsidRPr="00000000" w14:paraId="00000022">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this study proposes i++, a Learning Management System designed for modern educational needs. The system includes a custom Classroom AI powered by RAG, ensuring responses are based solely on teacher-uploaded materials, eliminating hallucinations. To enhance student recognition, the platform uses the blockchain technology with ERC-4337 Account Abstraction and ERC-5114 Soulbound Tokens, issuing gamified, cost-effective credentials that permanently record perseverance and teamwork. The primary goals are to reduce teachers' administrative workload, provide students with reliable, syllabus-aligned tutoring, and increase motivation through verifiable digital recognition.</w:t>
      </w:r>
    </w:p>
    <w:p w:rsidR="00000000" w:rsidDel="00000000" w:rsidP="00000000" w:rsidRDefault="00000000" w:rsidRPr="00000000" w14:paraId="00000023">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broader scale, the proposed study aligns with the United Nations Sustainable Development Goals. It supports SDG 4 (Quality Education) by giving public school students equitable access to a 24/7 personalized study companion. It also ties into SDG 9 (Industry, Innovation, and Infrastructure) by bringing advanced digital infrastructure, such as RAG AI and Web3 smart contracts, into the field of education. Importantly, the system is designed strictly in accordance with Philippine legal standards. The proposed study complies with the Data Privacy Act of 2012 (RA 10173) by storing student data in an isolated sandbox, using SHA-256 hashing, and implementing an 18-month data retention policy. Furthermore, it operates under the Electronic Commerce Act of 2000 (RA 8792), ensuring that digital credentials and Soulbound Tokens comply with national data-handling requirements.</w:t>
      </w:r>
    </w:p>
    <w:p w:rsidR="00000000" w:rsidDel="00000000" w:rsidP="00000000" w:rsidRDefault="00000000" w:rsidRPr="00000000" w14:paraId="00000024">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impact of the proposed study focuses on the local educational ecosystem. The system will be introduced at Mapandan National High School, a public institution in Pangasinan, Philippines. Since 1993, the school has expanded to serve thousands of students. Like many public schools, it depends on dedicated faculty to overcome limited technical infrastructure. Despite their efforts to improve student comprehension and reading proficiency, teachers face significant operational challenges. As a result, students miss out on early academic interventions and lack the tools to test their own understanding before major exams. To compensate, many have started using generic AI tools at home. This creates a dangerous gap. They are receiving answers that stray completely from their teacher's actual syllabus, all while risking their personal data on external servers. Traditional grading metrics also struggle to sustain long-term motivation, offering little verifiable value for a student's future beyond the classroom.</w:t>
      </w:r>
    </w:p>
    <w:p w:rsidR="00000000" w:rsidDel="00000000" w:rsidP="00000000" w:rsidRDefault="00000000" w:rsidRPr="00000000" w14:paraId="00000025">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implementing the proposed study at Mapandan National High School, we aim to address these challenges directly. Syllabus-aligned AI automation will reduce teachers' workloads, while secure, blockchain-verified credentials will foster meaningful academic resilience in students. This targeted approach supports the development of a motivated and digitally responsible generation of learners.</w:t>
      </w:r>
    </w:p>
    <w:p w:rsidR="00000000" w:rsidDel="00000000" w:rsidP="00000000" w:rsidRDefault="00000000" w:rsidRPr="00000000" w14:paraId="00000026">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Objectives</w:t>
      </w:r>
    </w:p>
    <w:p w:rsidR="00000000" w:rsidDel="00000000" w:rsidP="00000000" w:rsidRDefault="00000000" w:rsidRPr="00000000" w14:paraId="00000028">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design and develop i++: A Next-Generation Learning Management System Powered by RAG Artificial Intelligence and Blockchain Credentialing for the Senior High School Department of Mapandan National High School. Specifically, it seeks to:</w:t>
      </w:r>
    </w:p>
    <w:p w:rsidR="00000000" w:rsidDel="00000000" w:rsidP="00000000" w:rsidRDefault="00000000" w:rsidRPr="00000000" w14:paraId="00000029">
      <w:pPr>
        <w:numPr>
          <w:ilvl w:val="0"/>
          <w:numId w:val="1"/>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current learning management processes of Mapandan National High School.</w:t>
      </w:r>
    </w:p>
    <w:p w:rsidR="00000000" w:rsidDel="00000000" w:rsidP="00000000" w:rsidRDefault="00000000" w:rsidRPr="00000000" w14:paraId="0000002A">
      <w:pPr>
        <w:numPr>
          <w:ilvl w:val="0"/>
          <w:numId w:val="1"/>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describe the features of the proposed system.</w:t>
      </w:r>
    </w:p>
    <w:p w:rsidR="00000000" w:rsidDel="00000000" w:rsidP="00000000" w:rsidRDefault="00000000" w:rsidRPr="00000000" w14:paraId="0000002B">
      <w:pPr>
        <w:numPr>
          <w:ilvl w:val="0"/>
          <w:numId w:val="1"/>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usability of the proposed system.</w:t>
      </w:r>
    </w:p>
    <w:p w:rsidR="00000000" w:rsidDel="00000000" w:rsidP="00000000" w:rsidRDefault="00000000" w:rsidRPr="00000000" w14:paraId="0000002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p>
    <w:p w:rsidR="00000000" w:rsidDel="00000000" w:rsidP="00000000" w:rsidRDefault="00000000" w:rsidRPr="00000000" w14:paraId="0000002E">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framework for the proposed system acts as a clear roadmap, guiding the systematic development of the learning management system from initial planning to implementation. This framework combines the Input-Process-Output (IPO) model with the Rapid Application Development (RAD) methodology. RAD was intentionally chosen as the primary approach to meet the project’s tight six-month schedule and address the challenges of merging Web3 smart contracts with Retrieval-Augmented Generation (RAG) AI. Academic research supports the effectiveness of RAD, highlighting its focus on ongoing stakeholder collaboration, rapid prototyping, and adaptable, overlapping development phases. These qualities make it particularly well-suited to quickly building advanced educational platforms (Hamzah et al., 2019; Febrianty et al., 2020; Robal et al., 2024).</w:t>
      </w:r>
    </w:p>
    <w:p w:rsidR="00000000" w:rsidDel="00000000" w:rsidP="00000000" w:rsidRDefault="00000000" w:rsidRPr="00000000" w14:paraId="0000002F">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phase lays the groundwork for the project through active and ongoing collaboration between the development team and primary stakeholders, particularly the administration and teachers of Mapandan National High School. Mirroring the Requirements Planning stage of RAD, the team collects crucial information through structured interviews, direct observations, and in-depth discussions. At this stage, all key requirements are defined—including teaching needs, unique curriculum materials (like PDFs and presentations), token-related rules, and strict standards to ensure full compliance with the Data Privacy Act.</w:t>
      </w:r>
    </w:p>
    <w:p w:rsidR="00000000" w:rsidDel="00000000" w:rsidP="00000000" w:rsidRDefault="00000000" w:rsidRPr="00000000" w14:paraId="00000030">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phase focuses on the iterative development of the system, using RAD’s dynamic "Prototype Cycles" instead of a traditional step-by-step approach. It starts with analysis and quick design, then moves into a continuous loop of demonstrating, refining, and building. During this time, the team designs and codes working prototypes for the Classroom AI sandbox and blockchain dashboard. These prototypes are regularly shared with stakeholders to gather practical feedback, which is then used to further improve them, often overlapping with construction and testing activities.</w:t>
      </w:r>
    </w:p>
    <w:p w:rsidR="00000000" w:rsidDel="00000000" w:rsidP="00000000" w:rsidRDefault="00000000" w:rsidRPr="00000000" w14:paraId="00000031">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phase marks the project’s completion, when the fully tested and stable system is deployed on a secure school platform. The final product is the i++ Learning Management System—a complete platform that offers a secure AI teaching assistant, tools for dynamic self-assessment, and a blockchain-powered "Academic Passport" for students. Once deployed, the Mapandan National High School administration takes full control of the AI sandbox, including the ability to manage automated data-wiping schedules to ensure ongoing privacy and security compliance.</w:t>
      </w:r>
    </w:p>
    <w:p w:rsidR="00000000" w:rsidDel="00000000" w:rsidP="00000000" w:rsidRDefault="00000000" w:rsidRPr="00000000" w14:paraId="00000032">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illustrates the research paradigm for i++, a next-generation learning management system that integrates Retrieval-Augmented Generation artificial intelligence with blockchain credentialing.</w:t>
      </w:r>
    </w:p>
    <w:p w:rsidR="00000000" w:rsidDel="00000000" w:rsidP="00000000" w:rsidRDefault="00000000" w:rsidRPr="00000000" w14:paraId="0000003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0" distB="114300" distT="114300" distL="114300" distR="114300" hidden="0" layoutInCell="1" locked="0" relativeHeight="0" simplePos="0">
            <wp:simplePos x="0" y="0"/>
            <wp:positionH relativeFrom="page">
              <wp:posOffset>60325</wp:posOffset>
            </wp:positionH>
            <wp:positionV relativeFrom="page">
              <wp:posOffset>3260725</wp:posOffset>
            </wp:positionV>
            <wp:extent cx="8288655" cy="461899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267" r="267" t="0"/>
                    <a:stretch>
                      <a:fillRect/>
                    </a:stretch>
                  </pic:blipFill>
                  <pic:spPr>
                    <a:xfrm rot="16200000">
                      <a:off x="0" y="0"/>
                      <a:ext cx="8288655" cy="4618990"/>
                    </a:xfrm>
                    <a:prstGeom prst="rect"/>
                    <a:ln/>
                  </pic:spPr>
                </pic:pic>
              </a:graphicData>
            </a:graphic>
          </wp:anchor>
        </w:drawing>
      </w:r>
      <w:r w:rsidDel="00000000" w:rsidR="00000000" w:rsidRPr="00000000">
        <w:rPr>
          <w:rtl w:val="0"/>
        </w:rPr>
      </w:r>
    </w:p>
    <w:p w:rsidR="00000000" w:rsidDel="00000000" w:rsidP="00000000" w:rsidRDefault="00000000" w:rsidRPr="00000000" w14:paraId="00000039">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 of the Study</w:t>
      </w:r>
    </w:p>
    <w:p w:rsidR="00000000" w:rsidDel="00000000" w:rsidP="00000000" w:rsidRDefault="00000000" w:rsidRPr="00000000" w14:paraId="0000003A">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proposed study encompasses the design, development, and implementation of the i++ Learning Management System, which is tailored for stakeholders in the Senior High School Department of Mapandan National High School. The platform addresses the needs of students, teachers, and school administrators. It features a Retrieval-Augmented Generation (RAG) powered Classroom AI that functions as an autonomous teaching assistant. To ensure pedagogical alignment and prevent hallucinations, the AI restricts its responses to proprietary learning materials uploaded by educators. The application also includes a dynamic self-test generator programmed to produce multiple-choice, identification, and enumeration formats for independent student assessment. From a technical perspective, the project integrates a Proof-of-Stake (PoS) blockchain network to support a gamified token economy. This Web3 integration employs ERC-4337 for custodial smart contract wallets, subsidizes gas costs through a Paymaster to maintain affordability for the public-school ecosystem, and uses ERC-5114 to mint non-transferable behavioral Soulbound Tokens (SBTs). The scope further includes the deployment of an administrative sandbox for the institution, featuring SHA-256 hashing and an 18-month automated data retention policy to ensure compliance with data privacy regulations.</w:t>
      </w:r>
    </w:p>
    <w:p w:rsidR="00000000" w:rsidDel="00000000" w:rsidP="00000000" w:rsidRDefault="00000000" w:rsidRPr="00000000" w14:paraId="0000003B">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limitations of the proposed study are defined by specific technical parameters, pedagogical boundaries, and external environmental factors. A primary constraint is the system's reliance on the quality, accuracy, and comprehensiveness of materials uploaded by teachers. Since the Classroom AI is restricted to prevent hallucinations, it cannot generate educational responses for concepts not explicitly present in the provided documents. Regarding Web3 integration, the gamification logic is limited to recognizing and rewarding positive behavioral milestones; these digital tokens do not measure, reflect, or replace the standard academic grading metrics established by the institution. The system also operates as an independent sandbox and does not integrate with Mapandan National High School's existing legacy grading or enrollment systems. Finally, successful utilization of the platform depends on external hardware and infrastructure factors beyond the application's technical scope. These factors include the quality and stability of students' internet connectivity and the performance capabilities of their mobile devices, which may affect real-time interaction with the system.</w:t>
      </w:r>
    </w:p>
    <w:p w:rsidR="00000000" w:rsidDel="00000000" w:rsidP="00000000" w:rsidRDefault="00000000" w:rsidRPr="00000000" w14:paraId="0000003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3E">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i++ Learning Management System will modernize the educational ecosystem by blending safe, syllabus-bound AI tutoring with immutable blockchain recognition. The successful deployment of this project will directly benefit various stakeholders:</w:t>
      </w:r>
    </w:p>
    <w:p w:rsidR="00000000" w:rsidDel="00000000" w:rsidP="00000000" w:rsidRDefault="00000000" w:rsidRPr="00000000" w14:paraId="0000003F">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Mapandan National High School.</w:t>
      </w:r>
      <w:r w:rsidDel="00000000" w:rsidR="00000000" w:rsidRPr="00000000">
        <w:rPr>
          <w:rFonts w:ascii="Times New Roman" w:cs="Times New Roman" w:eastAsia="Times New Roman" w:hAnsi="Times New Roman"/>
          <w:sz w:val="24"/>
          <w:szCs w:val="24"/>
          <w:rtl w:val="0"/>
        </w:rPr>
        <w:t xml:space="preserve"> As the primary institutional beneficiary, the school will directly overcome pressing operational bottlenecks, such as overcrowded classrooms and a significant gap in early academic intervention. The deployment of the proposed system empowers the institution to modernize its educational framework despite its limited technological infrastructure.</w:t>
      </w:r>
    </w:p>
    <w:p w:rsidR="00000000" w:rsidDel="00000000" w:rsidP="00000000" w:rsidRDefault="00000000" w:rsidRPr="00000000" w14:paraId="00000040">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School Administration.</w:t>
      </w:r>
      <w:r w:rsidDel="00000000" w:rsidR="00000000" w:rsidRPr="00000000">
        <w:rPr>
          <w:rFonts w:ascii="Times New Roman" w:cs="Times New Roman" w:eastAsia="Times New Roman" w:hAnsi="Times New Roman"/>
          <w:sz w:val="24"/>
          <w:szCs w:val="24"/>
          <w:rtl w:val="0"/>
        </w:rPr>
        <w:t xml:space="preserve"> The platform guarantees strict compliance with the Data Privacy Act of 2012 (RA 10173) by keeping student interactions within an isolated, pseudo-anonymized sandbox. Additionally, the low-cost blockchain integration ensures that deploying an advanced gamification system is financially feasible and sustainable.</w:t>
      </w:r>
    </w:p>
    <w:p w:rsidR="00000000" w:rsidDel="00000000" w:rsidP="00000000" w:rsidRDefault="00000000" w:rsidRPr="00000000" w14:paraId="00000041">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w:t>
      </w:r>
      <w:r w:rsidDel="00000000" w:rsidR="00000000" w:rsidRPr="00000000">
        <w:rPr>
          <w:rFonts w:ascii="Times New Roman" w:cs="Times New Roman" w:eastAsia="Times New Roman" w:hAnsi="Times New Roman"/>
          <w:sz w:val="24"/>
          <w:szCs w:val="24"/>
          <w:rtl w:val="0"/>
        </w:rPr>
        <w:t xml:space="preserve"> Educators will essentially gain an autonomous AI teaching assistant. The system actively reduces the burden of managing overcrowded classrooms by providing on-demand student support. Furthermore, the integration of predictive analytics and intervention alerts empowers teachers to identify and address class-wide knowledge gaps early, well before major examinations.</w:t>
      </w:r>
    </w:p>
    <w:p w:rsidR="00000000" w:rsidDel="00000000" w:rsidP="00000000" w:rsidRDefault="00000000" w:rsidRPr="00000000" w14:paraId="00000042">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Senior high school learners will greatly benefit from an autonomous, 24/7 study companion capable of generating accurate, syllabus-based practice tests. The blockchain gamification system will publicly and permanently validate their academic resilience, peer collaboration, and consistent study habits, thereby boosting overall student motivation.</w:t>
      </w:r>
    </w:p>
    <w:p w:rsidR="00000000" w:rsidDel="00000000" w:rsidP="00000000" w:rsidRDefault="00000000" w:rsidRPr="00000000" w14:paraId="00000043">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 The project provides advanced practical expertise in building complex, hybrid Web3 and AI architectures. Specifically, it enables developers to master integrating Retrieval-Augmented Generation (RAG) with gas-abstracted blockchain networks in a localized, regulatory-compliant educational environment.</w:t>
      </w:r>
    </w:p>
    <w:p w:rsidR="00000000" w:rsidDel="00000000" w:rsidP="00000000" w:rsidRDefault="00000000" w:rsidRPr="00000000" w14:paraId="00000044">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Developers.</w:t>
      </w:r>
      <w:r w:rsidDel="00000000" w:rsidR="00000000" w:rsidRPr="00000000">
        <w:rPr>
          <w:rFonts w:ascii="Times New Roman" w:cs="Times New Roman" w:eastAsia="Times New Roman" w:hAnsi="Times New Roman"/>
          <w:sz w:val="24"/>
          <w:szCs w:val="24"/>
          <w:rtl w:val="0"/>
        </w:rPr>
        <w:t xml:space="preserve"> The study provides a replicable and scalable framework for deploying decentralized gamification and restricted AI in public education. This research provides a baseline for future studies on ethical AI implementation and the development of cost-effective educational technology solutions in developing nations.</w:t>
      </w:r>
    </w:p>
    <w:p w:rsidR="00000000" w:rsidDel="00000000" w:rsidP="00000000" w:rsidRDefault="00000000" w:rsidRPr="00000000" w14:paraId="00000045">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47">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clearer understanding of the proposed study, the following terms are defined conceptually and operationally as they are utilized within the context of the research: </w:t>
      </w:r>
    </w:p>
    <w:p w:rsidR="00000000" w:rsidDel="00000000" w:rsidP="00000000" w:rsidRDefault="00000000" w:rsidRPr="00000000" w14:paraId="00000048">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 Abstraction (ERC-4337).</w:t>
      </w:r>
      <w:r w:rsidDel="00000000" w:rsidR="00000000" w:rsidRPr="00000000">
        <w:rPr>
          <w:rFonts w:ascii="Times New Roman" w:cs="Times New Roman" w:eastAsia="Times New Roman" w:hAnsi="Times New Roman"/>
          <w:sz w:val="24"/>
          <w:szCs w:val="24"/>
          <w:rtl w:val="0"/>
        </w:rPr>
        <w:t xml:space="preserve"> A blockchain standard that allows smart contracts to operate as user wallets, enabling features like seamless Single Sign-On (SSO) and background gas-fee sponsorships via a Paymaster.</w:t>
      </w:r>
    </w:p>
    <w:p w:rsidR="00000000" w:rsidDel="00000000" w:rsidP="00000000" w:rsidRDefault="00000000" w:rsidRPr="00000000" w14:paraId="00000049">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w:t>
      </w:r>
      <w:r w:rsidDel="00000000" w:rsidR="00000000" w:rsidRPr="00000000">
        <w:rPr>
          <w:rFonts w:ascii="Times New Roman" w:cs="Times New Roman" w:eastAsia="Times New Roman" w:hAnsi="Times New Roman"/>
          <w:sz w:val="24"/>
          <w:szCs w:val="24"/>
          <w:rtl w:val="0"/>
        </w:rPr>
        <w:t xml:space="preserve">Conceptually, it refers to the simulation of human cognitive processes—such as learning, reasoning, and self-correction—by computer systems. Operationally, it denotes the underlying Large Language Model (LLM) engine utilized by the i++ Learning Management System, specifically adapted through Retrieval-Augmented Generation (RAG) to provide automated, syllabus-aligned tutoring and dynamic self-assessments. </w:t>
      </w:r>
    </w:p>
    <w:p w:rsidR="00000000" w:rsidDel="00000000" w:rsidP="00000000" w:rsidRDefault="00000000" w:rsidRPr="00000000" w14:paraId="0000004A">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Education Development Plan 2030.</w:t>
      </w:r>
      <w:r w:rsidDel="00000000" w:rsidR="00000000" w:rsidRPr="00000000">
        <w:rPr>
          <w:rFonts w:ascii="Times New Roman" w:cs="Times New Roman" w:eastAsia="Times New Roman" w:hAnsi="Times New Roman"/>
          <w:sz w:val="24"/>
          <w:szCs w:val="24"/>
          <w:rtl w:val="0"/>
        </w:rPr>
        <w:t xml:space="preserve"> A Philippine educational sector mandate that explicitly dictates the integration of innovative technological interventions to address pressing operational challenges within schools.</w:t>
      </w:r>
    </w:p>
    <w:p w:rsidR="00000000" w:rsidDel="00000000" w:rsidP="00000000" w:rsidRDefault="00000000" w:rsidRPr="00000000" w14:paraId="0000004B">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Blockchain.</w:t>
      </w:r>
      <w:r w:rsidDel="00000000" w:rsidR="00000000" w:rsidRPr="00000000">
        <w:rPr>
          <w:rFonts w:ascii="Times New Roman" w:cs="Times New Roman" w:eastAsia="Times New Roman" w:hAnsi="Times New Roman"/>
          <w:sz w:val="24"/>
          <w:szCs w:val="24"/>
          <w:rtl w:val="0"/>
        </w:rPr>
        <w:t xml:space="preserve"> Conceptually, it is a decentralized, distributed, and immutable digital ledger used to securely record transactions and track assets across a network. Operationally, it refers to the Web3 infrastructure employed by the proposed system to permanently and securely execute smart contracts and store students' gamified behavioral credentials (SBTs). </w:t>
      </w:r>
    </w:p>
    <w:p w:rsidR="00000000" w:rsidDel="00000000" w:rsidP="00000000" w:rsidRDefault="00000000" w:rsidRPr="00000000" w14:paraId="0000004C">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Classroom AI.</w:t>
      </w:r>
      <w:r w:rsidDel="00000000" w:rsidR="00000000" w:rsidRPr="00000000">
        <w:rPr>
          <w:rFonts w:ascii="Times New Roman" w:cs="Times New Roman" w:eastAsia="Times New Roman" w:hAnsi="Times New Roman"/>
          <w:sz w:val="24"/>
          <w:szCs w:val="24"/>
          <w:rtl w:val="0"/>
        </w:rPr>
        <w:t xml:space="preserve"> The customized artificial intelligence assistant integrated into the LMS, which is pedagogically restricted to answering questions based strictly on the educator's provided curriculum.</w:t>
      </w:r>
    </w:p>
    <w:p w:rsidR="00000000" w:rsidDel="00000000" w:rsidP="00000000" w:rsidRDefault="00000000" w:rsidRPr="00000000" w14:paraId="0000004D">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Cosine Similarity.</w:t>
      </w:r>
      <w:r w:rsidDel="00000000" w:rsidR="00000000" w:rsidRPr="00000000">
        <w:rPr>
          <w:rFonts w:ascii="Times New Roman" w:cs="Times New Roman" w:eastAsia="Times New Roman" w:hAnsi="Times New Roman"/>
          <w:sz w:val="24"/>
          <w:szCs w:val="24"/>
          <w:rtl w:val="0"/>
        </w:rPr>
        <w:t xml:space="preserve"> A mathematical metric utilized by the system and set to a strict 0.75 threshold to measure how closely a student's query matches the teacher's uploaded documents, triggering a fallback response if unrelated.</w:t>
      </w:r>
    </w:p>
    <w:p w:rsidR="00000000" w:rsidDel="00000000" w:rsidP="00000000" w:rsidRDefault="00000000" w:rsidRPr="00000000" w14:paraId="0000004E">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Privacy Act of 2012 (RA 10173).</w:t>
      </w:r>
      <w:r w:rsidDel="00000000" w:rsidR="00000000" w:rsidRPr="00000000">
        <w:rPr>
          <w:rFonts w:ascii="Times New Roman" w:cs="Times New Roman" w:eastAsia="Times New Roman" w:hAnsi="Times New Roman"/>
          <w:sz w:val="24"/>
          <w:szCs w:val="24"/>
          <w:rtl w:val="0"/>
        </w:rPr>
        <w:t xml:space="preserve"> The Philippine law protecting individual personal information, which the system complies with through pseudo-anonymization techniques like SHA-256 hashing and an 18-month data-wiping policy.</w:t>
      </w:r>
    </w:p>
    <w:p w:rsidR="00000000" w:rsidDel="00000000" w:rsidP="00000000" w:rsidRDefault="00000000" w:rsidRPr="00000000" w14:paraId="0000004F">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Hallucinations.</w:t>
      </w:r>
      <w:r w:rsidDel="00000000" w:rsidR="00000000" w:rsidRPr="00000000">
        <w:rPr>
          <w:rFonts w:ascii="Times New Roman" w:cs="Times New Roman" w:eastAsia="Times New Roman" w:hAnsi="Times New Roman"/>
          <w:sz w:val="24"/>
          <w:szCs w:val="24"/>
          <w:rtl w:val="0"/>
        </w:rPr>
        <w:t xml:space="preserve"> Critical flaws or instances where unrestricted AI generative systems produce plausible but factually incorrect or non-curriculum-aligned information.</w:t>
      </w:r>
    </w:p>
    <w:p w:rsidR="00000000" w:rsidDel="00000000" w:rsidP="00000000" w:rsidRDefault="00000000" w:rsidRPr="00000000" w14:paraId="00000050">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Management System (LMS).</w:t>
      </w:r>
      <w:r w:rsidDel="00000000" w:rsidR="00000000" w:rsidRPr="00000000">
        <w:rPr>
          <w:rFonts w:ascii="Times New Roman" w:cs="Times New Roman" w:eastAsia="Times New Roman" w:hAnsi="Times New Roman"/>
          <w:sz w:val="24"/>
          <w:szCs w:val="24"/>
          <w:rtl w:val="0"/>
        </w:rPr>
        <w:t xml:space="preserve"> Web-based platforms utilized in modernizing education by providing powerful, accessible learning tools that allow for continuous communication and interaction in virtual spaces.</w:t>
      </w:r>
    </w:p>
    <w:p w:rsidR="00000000" w:rsidDel="00000000" w:rsidP="00000000" w:rsidRDefault="00000000" w:rsidRPr="00000000" w14:paraId="00000051">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Paymaster Contract.</w:t>
      </w:r>
      <w:r w:rsidDel="00000000" w:rsidR="00000000" w:rsidRPr="00000000">
        <w:rPr>
          <w:rFonts w:ascii="Times New Roman" w:cs="Times New Roman" w:eastAsia="Times New Roman" w:hAnsi="Times New Roman"/>
          <w:sz w:val="24"/>
          <w:szCs w:val="24"/>
          <w:rtl w:val="0"/>
        </w:rPr>
        <w:t xml:space="preserve"> A smart contract mechanism on the blockchain that automatically pays the transaction fees (gas) on behalf of the students, keeping the gamified system free for users and affordable for the institution.</w:t>
      </w:r>
    </w:p>
    <w:p w:rsidR="00000000" w:rsidDel="00000000" w:rsidP="00000000" w:rsidRDefault="00000000" w:rsidRPr="00000000" w14:paraId="00000052">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Personally Identifiable Information (PII).</w:t>
      </w:r>
      <w:r w:rsidDel="00000000" w:rsidR="00000000" w:rsidRPr="00000000">
        <w:rPr>
          <w:rFonts w:ascii="Times New Roman" w:cs="Times New Roman" w:eastAsia="Times New Roman" w:hAnsi="Times New Roman"/>
          <w:sz w:val="24"/>
          <w:szCs w:val="24"/>
          <w:rtl w:val="0"/>
        </w:rPr>
        <w:t xml:space="preserve"> Private student data that poses significant personal security risks if unregulated external AI tools process it outside of secure school domains.</w:t>
      </w:r>
    </w:p>
    <w:p w:rsidR="00000000" w:rsidDel="00000000" w:rsidP="00000000" w:rsidRDefault="00000000" w:rsidRPr="00000000" w14:paraId="00000053">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Pseudo-anonymization.</w:t>
      </w:r>
      <w:r w:rsidDel="00000000" w:rsidR="00000000" w:rsidRPr="00000000">
        <w:rPr>
          <w:rFonts w:ascii="Times New Roman" w:cs="Times New Roman" w:eastAsia="Times New Roman" w:hAnsi="Times New Roman"/>
          <w:sz w:val="24"/>
          <w:szCs w:val="24"/>
          <w:rtl w:val="0"/>
        </w:rPr>
        <w:t xml:space="preserve"> A security and privacy compliance method used within the system's administrative sandbox, specifically utilizing SHA-256 hashing to protect student interactions.</w:t>
      </w:r>
    </w:p>
    <w:p w:rsidR="00000000" w:rsidDel="00000000" w:rsidP="00000000" w:rsidRDefault="00000000" w:rsidRPr="00000000" w14:paraId="00000054">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Retrieval-Augmented Generation (RAG).</w:t>
      </w:r>
      <w:r w:rsidDel="00000000" w:rsidR="00000000" w:rsidRPr="00000000">
        <w:rPr>
          <w:rFonts w:ascii="Times New Roman" w:cs="Times New Roman" w:eastAsia="Times New Roman" w:hAnsi="Times New Roman"/>
          <w:sz w:val="24"/>
          <w:szCs w:val="24"/>
          <w:rtl w:val="0"/>
        </w:rPr>
        <w:t xml:space="preserve"> An AI architecture framework that mitigates hallucinations by grounding the AI's responses exclusively in a localized, verified knowledge base, such as the teacher's uploaded PDFs and PPTXs.</w:t>
      </w:r>
    </w:p>
    <w:p w:rsidR="00000000" w:rsidDel="00000000" w:rsidP="00000000" w:rsidRDefault="00000000" w:rsidRPr="00000000" w14:paraId="00000055">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Contracts.</w:t>
      </w:r>
      <w:r w:rsidDel="00000000" w:rsidR="00000000" w:rsidRPr="00000000">
        <w:rPr>
          <w:rFonts w:ascii="Times New Roman" w:cs="Times New Roman" w:eastAsia="Times New Roman" w:hAnsi="Times New Roman"/>
          <w:sz w:val="24"/>
          <w:szCs w:val="24"/>
          <w:rtl w:val="0"/>
        </w:rPr>
        <w:t xml:space="preserve"> Programmable blockchain mechanisms, such as those governing the Paymaster and ERC-5114 token logic, used to securely issue digital badges and gamify behavioral credentials.</w:t>
      </w:r>
    </w:p>
    <w:p w:rsidR="00000000" w:rsidDel="00000000" w:rsidP="00000000" w:rsidRDefault="00000000" w:rsidRPr="00000000" w14:paraId="00000056">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Soulbound Tokens (SBT / ERC-5114).</w:t>
      </w:r>
      <w:r w:rsidDel="00000000" w:rsidR="00000000" w:rsidRPr="00000000">
        <w:rPr>
          <w:rFonts w:ascii="Times New Roman" w:cs="Times New Roman" w:eastAsia="Times New Roman" w:hAnsi="Times New Roman"/>
          <w:sz w:val="24"/>
          <w:szCs w:val="24"/>
          <w:rtl w:val="0"/>
        </w:rPr>
        <w:t xml:space="preserve"> Non-transferable, permanent digital badges stored on the blockchain that securely represent unforgeable academic commitments, behavioral achievements, and student resilience.</w:t>
      </w:r>
    </w:p>
    <w:p w:rsidR="00000000" w:rsidDel="00000000" w:rsidP="00000000" w:rsidRDefault="00000000" w:rsidRPr="00000000" w14:paraId="00000057">
      <w:pPr>
        <w:spacing w:after="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Web3.</w:t>
      </w:r>
      <w:r w:rsidDel="00000000" w:rsidR="00000000" w:rsidRPr="00000000">
        <w:rPr>
          <w:rFonts w:ascii="Times New Roman" w:cs="Times New Roman" w:eastAsia="Times New Roman" w:hAnsi="Times New Roman"/>
          <w:sz w:val="24"/>
          <w:szCs w:val="24"/>
          <w:rtl w:val="0"/>
        </w:rPr>
        <w:t xml:space="preserve"> The decentralized digital ecosystem where non-transferable tokens and authentication mechanisms are combined to create a seamless, privacy-preserving credentialing standard.</w:t>
      </w:r>
    </w:p>
    <w:p w:rsidR="00000000" w:rsidDel="00000000" w:rsidP="00000000" w:rsidRDefault="00000000" w:rsidRPr="00000000" w14:paraId="00000058">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br w:type="textWrapping"/>
        <w:t xml:space="preserve">REVIEW OF THE RELATED LITERATURE</w:t>
      </w:r>
    </w:p>
    <w:p w:rsidR="00000000" w:rsidDel="00000000" w:rsidP="00000000" w:rsidRDefault="00000000" w:rsidRPr="00000000" w14:paraId="0000006E">
      <w:pPr>
        <w:spacing w:after="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Learning Management Processes</w:t>
      </w:r>
    </w:p>
    <w:p w:rsidR="00000000" w:rsidDel="00000000" w:rsidP="00000000" w:rsidRDefault="00000000" w:rsidRPr="00000000" w14:paraId="0000006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learning management systems (LMS) have grown from simple record-keeping tools into active, data-rich environments that improve how we deliver education globally. At the heart of this shift, we see the combination of strong analytics and solid teaching methods keeping students involved. For example, when platforms track key performance indicators, educators can refine their course designs and closely monitor academic progress (Val &amp; Hijós, 2025). This focus on data helps us continuously improve learning pathways to support student success. Moreover, active teaching methods, like flipped classrooms built into these platforms, completely change how students engage with course materials (Han et al., 2025). When we prioritize active participation instead of passive listening, these updated systems encourage students to stay mentally engaged for longer periods.</w:t>
      </w:r>
    </w:p>
    <w:p w:rsidR="00000000" w:rsidDel="00000000" w:rsidP="00000000" w:rsidRDefault="00000000" w:rsidRPr="00000000" w14:paraId="00000070">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beyond basic structures, generative artificial intelligence now plays a major role in digital education. We see AI outperforming traditional analytics by creating tailored materials that fit individual student needs (Ritchie, 2026). On the administrative side, utilizing information and communication technology automates routine management workflows (Liu et al., 2025). Schools reduce operational costs and keep students motivated by removing these administrative hurdles. However, simply buying software is not enough. Institutions must establish structured deployment plans and continuously train their educators to ensure online learning works effectively (Mollel et al., 2025).</w:t>
      </w:r>
    </w:p>
    <w:p w:rsidR="00000000" w:rsidDel="00000000" w:rsidP="00000000" w:rsidRDefault="00000000" w:rsidRPr="00000000" w14:paraId="00000071">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Philippines, learning management relies heavily on technological access and digital literacy. To build digital ecosystems that actually work for local students, we must first assess the specific digital literacy and design skills of senior high school learners. Identifying these gaps allows schools to create targeted training programs (Alegado, 2025). Unfortunately, the availability of devices still dictates academic engagement in public secondary education, leaving students without proper tools at a strict disadvantage (Abdulganie et al., 2025). Even when schools provide centralized digital platforms, inconsistent internet connectivity frequently disrupts classes. This reality means educators require strong technical support to maintain equitable access for everyone (Vargas et al., 2024).</w:t>
      </w:r>
    </w:p>
    <w:p w:rsidR="00000000" w:rsidDel="00000000" w:rsidP="00000000" w:rsidRDefault="00000000" w:rsidRPr="00000000" w14:paraId="00000072">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digital platforms also shape the behavioral and mental well-being of our learners. Moving to digital ecosystems changes how students interact academically and socially. Therefore, we must intentionally design virtual environments that encourage positive peer connections rather than isolating the user behind a screen (Makie et al., 2025). Without clear pedagogical boundaries and technical support, spending too much time online correlates with negative psychological outcomes. Too much screen time blurs the boundary between academic focus and distraction, often leading to social media addiction and depression among Filipino youth (Tus et al., 2021). Because of these vulnerabilities, secure and restricted learning management systems serve as a necessary shield to protect students in modern educational settings.</w:t>
      </w:r>
    </w:p>
    <w:p w:rsidR="00000000" w:rsidDel="00000000" w:rsidP="00000000" w:rsidRDefault="00000000" w:rsidRPr="00000000" w14:paraId="00000073">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learning management processes have evolved far beyond basic administrative tasks; they now act as dynamic platforms that put student engagement and learning first. A common theme across the literature highlights a stark reality: while AI-driven analytics and active learning methods significantly improve how teachers deliver instruction, inadequate digital literacy, infrastructure limits, and student well-being concerns frequently hold back their true potential. To overcome these hurdles, the findings show that schools must pair successful LMS deployments with comprehensive teacher training and intentionally design systems to encourage healthy peer interactions. Ultimately, educational institutions have to balance cutting-edge technology with structured support to build digital ecosystems that are both equitable and secure.</w:t>
      </w:r>
    </w:p>
    <w:p w:rsidR="00000000" w:rsidDel="00000000" w:rsidP="00000000" w:rsidRDefault="00000000" w:rsidRPr="00000000" w14:paraId="00000074">
      <w:pPr>
        <w:spacing w:after="20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 of the Proposed System</w:t>
      </w:r>
    </w:p>
    <w:p w:rsidR="00000000" w:rsidDel="00000000" w:rsidP="00000000" w:rsidRDefault="00000000" w:rsidRPr="00000000" w14:paraId="00000076">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artificial intelligence into educational platforms brings new features that customize how teachers deliver instruction. AI models, particularly Large Language Models (LLMs), quickly process heavy text to generate dynamic self-assessments. For example, LLMs can automatically write multilingual quizzes from specific datasets, turning dense readings into manageable tests (Ackerman &amp; Balyan, 2023). While students value this customized tutoring, we note their valid concerns regarding the factual accuracy of unrestricted AI models (Chan &amp; Hu, 2023). To solve this, schools must teach AI literacy. We need frameworks that help students evaluate how these tools generate answers, bridging the gap between machine outputs and actual learning (Almatrafi et al., 2024).</w:t>
      </w:r>
    </w:p>
    <w:p w:rsidR="00000000" w:rsidDel="00000000" w:rsidP="00000000" w:rsidRDefault="00000000" w:rsidRPr="00000000" w14:paraId="00000077">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Alongside AI, decentralized technologies build the necessary infrastructure for secure academic credentialing. Blockchain networks offer a tamper-resistant space to issue cryptographic tokens, which verify a student's achievements across borders (Malik &amp; Bhatia, 2026). To update this architecture, developers standardize protocols like ERC-4337. This protocol uses Account Abstraction to shift transaction fees away from users via smart contract wallets (Su et al., 2026). By removing these gas fees, we eliminate the steep technical barriers of Web3. This allows developers to add token-based gamification to daily educational platforms without forcing students to manage complex crypto wallets.</w:t>
      </w:r>
    </w:p>
    <w:p w:rsidR="00000000" w:rsidDel="00000000" w:rsidP="00000000" w:rsidRDefault="00000000" w:rsidRPr="00000000" w14:paraId="00000078">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Philippine’s education system, adopting these advanced features marks a necessary shift toward student-centered learning. We see artificial intelligence fundamentally changing how senior high school and college students handle independent research (Capinding &amp; Dumayas, 2024). Local students show high technical competency with generative AI. Consequently, they need systemic support programs that teach ethical use, prompt engineering, and output evaluation (Ote, 2026). The widespread use of these tools directly impacts academic performance. A structured, curriculum-bound approach to AI helps ensure that digital literacy improves scholastic outcomes rather than causing distractions (Co et al., 2024).</w:t>
      </w:r>
    </w:p>
    <w:p w:rsidR="00000000" w:rsidDel="00000000" w:rsidP="00000000" w:rsidRDefault="00000000" w:rsidRPr="00000000" w14:paraId="00000079">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these innovations work locally, our technological interventions must improve both platform usability and record security. When teachers perceive a learning management system as effective, their self-efficacy and work engagement increase, fostering an environment for continuous student monitoring (Inoncillo, 2024). Furthermore, establishing trust in these local platforms requires verifiable records. When we integrate smart credentialing via blockchain, we guarantee that national certificates remain permanently authentic and safe from fraud (Esguerra et al., 2024). Embedding these secure features into local systems helps us create an engaging learning space while strictly protecting student data.</w:t>
      </w:r>
    </w:p>
    <w:p w:rsidR="00000000" w:rsidDel="00000000" w:rsidP="00000000" w:rsidRDefault="00000000" w:rsidRPr="00000000" w14:paraId="0000007A">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features reveal that by integrating artificial intelligence and decentralized Web3 technologies, developers can transform traditional LMS platforms into highly secure learning environments. The reviewed studies recognize a double-edged sword: generative AI offers unprecedented tools for customized tutoring and dynamic assessments, yet it introduces real risks of factual inaccuracies. This reality forces educators to establish structured AI literacy programs and strict boundaries. Researchers conclude that we can solve this by pairing AI with blockchain technology. Specifically, using gas-abstracted smart contracts and non-transferable tokens successfully secures data integrity while maintaining personalized learning. As a result, building a secure platform directly empowers teachers to monitor academic progress and guarantees that a student's digital credentials remain authentic.</w:t>
      </w:r>
    </w:p>
    <w:p w:rsidR="00000000" w:rsidDel="00000000" w:rsidP="00000000" w:rsidRDefault="00000000" w:rsidRPr="00000000" w14:paraId="0000007B">
      <w:pPr>
        <w:spacing w:after="20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Usability Testing of the Proposed System</w:t>
      </w:r>
    </w:p>
    <w:p w:rsidR="00000000" w:rsidDel="00000000" w:rsidP="00000000" w:rsidRDefault="00000000" w:rsidRPr="00000000" w14:paraId="0000007D">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a complex digital educational ecosystem requires thorough usability testing. This testing serves as the critical link between back-end programming and front-end interfaces, measuring how easily teachers and students navigate the platform. For example, when we evaluate platforms using the System Usability Scale (SUS), we can identify specific problems like confusing menus or slow load times. Finding these technical barriers allows developers to redesign interfaces and create better user support, ensuring the platform actually helps students learn (Sudestra et al., 2024). Standardized frameworks like SUS also matter when evaluating internal quality systems. Smooth interfaces determine whether administrators can manage data efficiently instead of fighting clunky software (Irawan et al., 2025).</w:t>
      </w:r>
    </w:p>
    <w:p w:rsidR="00000000" w:rsidDel="00000000" w:rsidP="00000000" w:rsidRDefault="00000000" w:rsidRPr="00000000" w14:paraId="0000007E">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new features like AI and blockchain requires an even deeper level of usability testing to ensure academic acceptance. Using a mixed-method approach reveals a fuller picture. While survey scores might show moderate usability, conversations with faculty often uncover a strong need to simplify interfaces and provide better instructional guides (Koca &amp; Özcan, 2025). As developers add decentralized technologies, frameworks like the Extended Technology Acceptance Model show that perceived usefulness heavily influences whether faculty will actually adopt blockchain systems (Abouelenein et al., 2026). Moreover, introducing generative AI demands careful context assessment. Since many secondary teachers already know how to use basic AI tools, we must design systems that naturally fit and enhance their existing digital skills (Adekunle et al., 2024).</w:t>
      </w:r>
    </w:p>
    <w:p w:rsidR="00000000" w:rsidDel="00000000" w:rsidP="00000000" w:rsidRDefault="00000000" w:rsidRPr="00000000" w14:paraId="0000007F">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Focusing on the Philippines, baseline usability remains vital for a successful technological shift, especially given the country's unique infrastructural hurdles. Quantitative tests of learning systems in local colleges show that user satisfaction depends heavily on reliability. A platform must function smoothly even with poor internet connectivity if it expects to survive in local curricula (Borbon &amp; Bautista, 2024). This basic reliability is a stepping stone for smarter innovations. Local research proves that when a learning management system operates dependably under constraints, users gain confidence. They then become much more willing to try the advanced artificial intelligence features embedded inside the platform (Pugoy, 2025).</w:t>
      </w:r>
    </w:p>
    <w:p w:rsidR="00000000" w:rsidDel="00000000" w:rsidP="00000000" w:rsidRDefault="00000000" w:rsidRPr="00000000" w14:paraId="00000080">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user readiness through solid usability aligns perfectly with the behavioral models needed for wide-scale digital adoption. We see through the Unified Theory of Acceptance and Use of Technology (UTAUT) that clear interfaces and good support are mandatory prerequisites. Without them, teachers' positive intentions will never translate into daily classroom use of AI tools (Gabunilas et al., 2026). Students also need highly usable systems to benefit from these digital companions. Factors like perceived interactivity, system satisfaction, and real academic value motivate undergraduates to use AI models in their study routines (Wijaya et al., 2025). Ultimately, validating these systems through localized usability testing guides our policy recommendations. It guarantees that integrating AI tools in senior high schools remains ethical, accessible, and highly beneficial for everyone involved (Brigola, 2025).</w:t>
      </w:r>
    </w:p>
    <w:p w:rsidR="00000000" w:rsidDel="00000000" w:rsidP="00000000" w:rsidRDefault="00000000" w:rsidRPr="00000000" w14:paraId="00000081">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usability testing serves as the bridge that connects complex back-end innovations, like AI and blockchain, directly to everyday classroom use. A recurring finding across the literature proves that technical sophistication means nothing without baseline reliability and user acceptance. To achieve this, developers must rely on standard evaluation frameworks, like the System Usability Scale (SUS) and the Technology Acceptance Model (TAM), to identify and fix interface bottlenecks. These studies conclude that to successfully integrate advanced LMS features, developers must build intuitive, dependable systems that perform smoothly even when faced with infrastructural constraints like poor internet connectivity. Therefore, when schools use usability testing to foster user readiness, they ensure their new digital tools remain ethical and accessible.</w:t>
      </w:r>
    </w:p>
    <w:p w:rsidR="00000000" w:rsidDel="00000000" w:rsidP="00000000" w:rsidRDefault="00000000" w:rsidRPr="00000000" w14:paraId="00000082">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8C">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Abdulganie, N., et al. (2025). The relationship of technological resources and student engagement among senior high school students. International Journal of Research and Innovation in Social Science (IJRISS), 9(02), 3378–3393.</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https://dx.doi.org/10.47772/IJRISS.2025.9020263</w:t>
        </w:r>
      </w:hyperlink>
      <w:r w:rsidDel="00000000" w:rsidR="00000000" w:rsidRPr="00000000">
        <w:rPr>
          <w:rtl w:val="0"/>
        </w:rPr>
      </w:r>
    </w:p>
    <w:p w:rsidR="00000000" w:rsidDel="00000000" w:rsidP="00000000" w:rsidRDefault="00000000" w:rsidRPr="00000000" w14:paraId="0000008D">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Abouelenein, Y., et al. (2026). Faculty acceptance of blockchain technology in higher education: an extended technology acceptance model analysis. Education and Information Technologies.</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https://doi.org/10.1007/s10639-026-14005-0</w:t>
        </w:r>
      </w:hyperlink>
      <w:r w:rsidDel="00000000" w:rsidR="00000000" w:rsidRPr="00000000">
        <w:rPr>
          <w:rtl w:val="0"/>
        </w:rPr>
      </w:r>
    </w:p>
    <w:p w:rsidR="00000000" w:rsidDel="00000000" w:rsidP="00000000" w:rsidRDefault="00000000" w:rsidRPr="00000000" w14:paraId="0000008E">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Ackerman, R., &amp; Balyan, R. (2023). Automatic multilingual question generation for health data using LLMs. In International Conference on AI-generated Content (pp. 1-11). Springer.</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https://doi.org/10.1007/978-981-99-7587-7_1</w:t>
        </w:r>
      </w:hyperlink>
      <w:r w:rsidDel="00000000" w:rsidR="00000000" w:rsidRPr="00000000">
        <w:rPr>
          <w:rtl w:val="0"/>
        </w:rPr>
      </w:r>
    </w:p>
    <w:p w:rsidR="00000000" w:rsidDel="00000000" w:rsidP="00000000" w:rsidRDefault="00000000" w:rsidRPr="00000000" w14:paraId="0000008F">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Adekunle, O., et al. (2024). Assessing the Awareness and Usability of Artificial Intelligence Software Among Secondary School Teachers. Educational Perspectives, 13(1).</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https://educationalperspectives.org.ng/upload_file/Adekunle%20et%20al%202024.pdf</w:t>
        </w:r>
      </w:hyperlink>
      <w:r w:rsidDel="00000000" w:rsidR="00000000" w:rsidRPr="00000000">
        <w:rPr>
          <w:rtl w:val="0"/>
        </w:rPr>
      </w:r>
    </w:p>
    <w:p w:rsidR="00000000" w:rsidDel="00000000" w:rsidP="00000000" w:rsidRDefault="00000000" w:rsidRPr="00000000" w14:paraId="00000090">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Al-Hawari, F., Barham, H., Al-Sawaeer, O., Alshawabkeh, M., Alouneh, S., Daoud, M. I., &amp; Alazrai, R. (2021). Methods to achieve effective web-based learning management modules: MyGJU versus Moodle. PeerJ Computer Science, 7, e498.</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https://doi.org/10.7717/peerj-cs.498</w:t>
        </w:r>
      </w:hyperlink>
      <w:r w:rsidDel="00000000" w:rsidR="00000000" w:rsidRPr="00000000">
        <w:rPr>
          <w:rtl w:val="0"/>
        </w:rPr>
      </w:r>
    </w:p>
    <w:p w:rsidR="00000000" w:rsidDel="00000000" w:rsidP="00000000" w:rsidRDefault="00000000" w:rsidRPr="00000000" w14:paraId="00000091">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Alegado, R. T. (2025). Assessing the digital literacy and design skills needs of parish youth and senior high school students in Cabanatuan City: A basis for the development of the digital design bootcamp series 2025. International Journal of Innovative Research and Scientific Studies, 8(7).</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https://doi.org/10.53894/ijirss.v8i7.10481</w:t>
        </w:r>
      </w:hyperlink>
      <w:r w:rsidDel="00000000" w:rsidR="00000000" w:rsidRPr="00000000">
        <w:rPr>
          <w:rtl w:val="0"/>
        </w:rPr>
      </w:r>
    </w:p>
    <w:p w:rsidR="00000000" w:rsidDel="00000000" w:rsidP="00000000" w:rsidRDefault="00000000" w:rsidRPr="00000000" w14:paraId="00000092">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Almatrafi, O., et al. (2024). A systematic review of AI literacy conceptualization, constructs, and implementation and assessment efforts (2019–2023). Computers and Education Open, 6, 100173.</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https://doi.org/10.1016/j.caeo.2024.100173</w:t>
        </w:r>
      </w:hyperlink>
      <w:r w:rsidDel="00000000" w:rsidR="00000000" w:rsidRPr="00000000">
        <w:rPr>
          <w:rtl w:val="0"/>
        </w:rPr>
      </w:r>
    </w:p>
    <w:p w:rsidR="00000000" w:rsidDel="00000000" w:rsidP="00000000" w:rsidRDefault="00000000" w:rsidRPr="00000000" w14:paraId="00000093">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Almusharraf, A. I. (2024). An Investigation of university students' perceptions of learning management systems: Insights for enhancing usability and engagement. Sustainability, 16(22), 10037.</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https://doi.org/10.3390/su162210037</w:t>
        </w:r>
      </w:hyperlink>
      <w:r w:rsidDel="00000000" w:rsidR="00000000" w:rsidRPr="00000000">
        <w:rPr>
          <w:rtl w:val="0"/>
        </w:rPr>
      </w:r>
    </w:p>
    <w:p w:rsidR="00000000" w:rsidDel="00000000" w:rsidP="00000000" w:rsidRDefault="00000000" w:rsidRPr="00000000" w14:paraId="00000094">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Amugongo, L. M., Mascheroni, P., Brooks, S., Doering, S., &amp; Seidel, J. (2025). Retrieval augmented generation for large language models in healthcare: A systematic review. PLOS Digital Health, 4(6), e0000877.</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https://doi.org/10.1371/journal.pdig.0000877</w:t>
        </w:r>
      </w:hyperlink>
      <w:r w:rsidDel="00000000" w:rsidR="00000000" w:rsidRPr="00000000">
        <w:rPr>
          <w:rtl w:val="0"/>
        </w:rPr>
      </w:r>
    </w:p>
    <w:p w:rsidR="00000000" w:rsidDel="00000000" w:rsidP="00000000" w:rsidRDefault="00000000" w:rsidRPr="00000000" w14:paraId="00000095">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 B., Cirillo, F., De Santis, M., &amp; Esposito, C. (2024). Soulbound Tokens: Enabler for Privacy-Aware and Decentralized Authentication Mechanism in Medical Data Storage. Blockchain in Healthcare Today, 7.</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https://doi.org/10.30953/bhty.v7.334</w:t>
        </w:r>
      </w:hyperlink>
      <w:r w:rsidDel="00000000" w:rsidR="00000000" w:rsidRPr="00000000">
        <w:rPr>
          <w:rtl w:val="0"/>
        </w:rPr>
      </w:r>
    </w:p>
    <w:p w:rsidR="00000000" w:rsidDel="00000000" w:rsidP="00000000" w:rsidRDefault="00000000" w:rsidRPr="00000000" w14:paraId="00000096">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Borabo, J., et al. (2024). Impact of the Utilization of Learning Management System in the Implementation of Distance Learning in Secondary Schools in the Philippines from 2019 to 2023. ResearchGate.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https://www.researchgate.net/publication/392315857_Impact_of_the_Utilization_of_Learning_Management_System_in_the_Implementation_of_Distance_Learning_in_Secondary_Schools_in_the_Philippines_from_2019_to_2023</w:t>
        </w:r>
      </w:hyperlink>
      <w:r w:rsidDel="00000000" w:rsidR="00000000" w:rsidRPr="00000000">
        <w:rPr>
          <w:rtl w:val="0"/>
        </w:rPr>
      </w:r>
    </w:p>
    <w:p w:rsidR="00000000" w:rsidDel="00000000" w:rsidP="00000000" w:rsidRDefault="00000000" w:rsidRPr="00000000" w14:paraId="00000097">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Borbon, N. F. D., &amp; Bautista, V. H. (2024). Adaptation and usability of learning management system to the new normal dental education. International Journal of Research Studies in Education, 13(3), 25-39.</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https://doi.org/10.5861/ijrse.2024.24603</w:t>
        </w:r>
      </w:hyperlink>
      <w:r w:rsidDel="00000000" w:rsidR="00000000" w:rsidRPr="00000000">
        <w:rPr>
          <w:rtl w:val="0"/>
        </w:rPr>
      </w:r>
    </w:p>
    <w:p w:rsidR="00000000" w:rsidDel="00000000" w:rsidP="00000000" w:rsidRDefault="00000000" w:rsidRPr="00000000" w14:paraId="00000098">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Brigola, F. H. B. (2025). Utilization of Artificial Intelligence (AI) Tools among Senior High School Students: Inputs for Policy Recommendations. RSIS International, 12(15), 1808-1815.</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https://rsisinternational.org/journals/ijrsi/articles/utilization-of-artificial-intelligence-ai-tools-among-senior-high-school-students-inputs-for-policy-recommendations/</w:t>
        </w:r>
      </w:hyperlink>
      <w:r w:rsidDel="00000000" w:rsidR="00000000" w:rsidRPr="00000000">
        <w:rPr>
          <w:rtl w:val="0"/>
        </w:rPr>
      </w:r>
    </w:p>
    <w:p w:rsidR="00000000" w:rsidDel="00000000" w:rsidP="00000000" w:rsidRDefault="00000000" w:rsidRPr="00000000" w14:paraId="00000099">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Capinding, A. T., &amp; Dumayas, F. T. (2024). Transformative pedagogy in the digital age: Unraveling the impact of artificial Intelligence on higher education students. Problems of Education in the 21st Century, 82(5), 630–657.</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https://doi.org/10.33225/pec/24.82.630</w:t>
        </w:r>
      </w:hyperlink>
      <w:r w:rsidDel="00000000" w:rsidR="00000000" w:rsidRPr="00000000">
        <w:rPr>
          <w:rtl w:val="0"/>
        </w:rPr>
      </w:r>
    </w:p>
    <w:p w:rsidR="00000000" w:rsidDel="00000000" w:rsidP="00000000" w:rsidRDefault="00000000" w:rsidRPr="00000000" w14:paraId="0000009A">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 C. K. Y., &amp; Hu, W. (2023). Students' voices on generative AI: Perceptions, benefits, and challenges in higher education. International Journal of Educational Technology in Higher Education, 20(1), 43.</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https://doi.org/10.1186/s41239-023-00411-8</w:t>
        </w:r>
      </w:hyperlink>
      <w:r w:rsidDel="00000000" w:rsidR="00000000" w:rsidRPr="00000000">
        <w:rPr>
          <w:rtl w:val="0"/>
        </w:rPr>
      </w:r>
    </w:p>
    <w:p w:rsidR="00000000" w:rsidDel="00000000" w:rsidP="00000000" w:rsidRDefault="00000000" w:rsidRPr="00000000" w14:paraId="0000009B">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S. J., et al. (2024). AI Literacy and Academic Performance: A Cross-Sectional Analysis of Senior High School Students. International Journal of Technology in Education, 7(2), 174-182.</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https://ijte.net/index.php/ijte/article/view/5335</w:t>
        </w:r>
      </w:hyperlink>
      <w:r w:rsidDel="00000000" w:rsidR="00000000" w:rsidRPr="00000000">
        <w:rPr>
          <w:rtl w:val="0"/>
        </w:rPr>
      </w:r>
    </w:p>
    <w:p w:rsidR="00000000" w:rsidDel="00000000" w:rsidP="00000000" w:rsidRDefault="00000000" w:rsidRPr="00000000" w14:paraId="0000009C">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Education. (2026). Foundational Guidelines on Artificial Intelligence in Basic Education (DepEd Order No. 003, s. 2026). DepEd Philippines.</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https://www.deped.gov.ph/wp-content/uploads/DO_s2026_003r-1.pdf</w:t>
        </w:r>
      </w:hyperlink>
      <w:r w:rsidDel="00000000" w:rsidR="00000000" w:rsidRPr="00000000">
        <w:rPr>
          <w:rtl w:val="0"/>
        </w:rPr>
      </w:r>
    </w:p>
    <w:p w:rsidR="00000000" w:rsidDel="00000000" w:rsidP="00000000" w:rsidRDefault="00000000" w:rsidRPr="00000000" w14:paraId="0000009D">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Dida-Agun, R., &amp; Abarquez, A. (2025). Artificial Intelligence: Its Influence on Academic Performance of Grade 11 Senior High School Students. Philippine E-Journals.</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https://ejournals.ph/article.php?id=31492</w:t>
        </w:r>
      </w:hyperlink>
      <w:r w:rsidDel="00000000" w:rsidR="00000000" w:rsidRPr="00000000">
        <w:rPr>
          <w:rtl w:val="0"/>
        </w:rPr>
      </w:r>
    </w:p>
    <w:p w:rsidR="00000000" w:rsidDel="00000000" w:rsidP="00000000" w:rsidRDefault="00000000" w:rsidRPr="00000000" w14:paraId="0000009E">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Esguerra, M., et al. (2024). Smart Credentialing and Verification System for National Certificates using Blockchain Technology. Proceedings of the 2024 8th International Conference on Digital Technology in Education (ICDTE), 183-187.</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https://doi.org/10.1145/3696230.3696266</w:t>
        </w:r>
      </w:hyperlink>
      <w:r w:rsidDel="00000000" w:rsidR="00000000" w:rsidRPr="00000000">
        <w:rPr>
          <w:rtl w:val="0"/>
        </w:rPr>
      </w:r>
    </w:p>
    <w:p w:rsidR="00000000" w:rsidDel="00000000" w:rsidP="00000000" w:rsidRDefault="00000000" w:rsidRPr="00000000" w14:paraId="0000009F">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Febrianty, F., Hadiwijaya, H., &amp; Octafian, D. T. (2020). E-Schools development in filial schools as a solution to improve teaching and learning activities and the effectiveness of school administration. JPI (Jurnal Pendidikan Indonesia), 9(3), 468.</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https://doi.org/10.23887/jpi-undiksha.v9i3.24276</w:t>
        </w:r>
      </w:hyperlink>
      <w:r w:rsidDel="00000000" w:rsidR="00000000" w:rsidRPr="00000000">
        <w:rPr>
          <w:rtl w:val="0"/>
        </w:rPr>
      </w:r>
    </w:p>
    <w:p w:rsidR="00000000" w:rsidDel="00000000" w:rsidP="00000000" w:rsidRDefault="00000000" w:rsidRPr="00000000" w14:paraId="000000A0">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Gabunilas, J., et al. (2026). A Unified Model for Innovation and Technology in Education: A Framework for Teachers' Adoption of AI Tools in Teaching. International Journal of Education in Mathematics, Science and Technology, 14(2).</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https://ijemst.com/index.php/ijemst/article/view/5683</w:t>
        </w:r>
      </w:hyperlink>
      <w:r w:rsidDel="00000000" w:rsidR="00000000" w:rsidRPr="00000000">
        <w:rPr>
          <w:rtl w:val="0"/>
        </w:rPr>
      </w:r>
    </w:p>
    <w:p w:rsidR="00000000" w:rsidDel="00000000" w:rsidP="00000000" w:rsidRDefault="00000000" w:rsidRPr="00000000" w14:paraId="000000A1">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Hamzah, H., Hamzah, M. L., Hamzah, Z., &amp; Purwati, A. A. (2019). The implementation of Rapid Application Development method in designing E-Learning based on Learning Management System Moodle at Universitas Islam Riau, Indonesia. Proceedings of the Second International Conference on Social, Economy, Education and Humanity, 359–366.</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https://doi.org/10.5220/0009151303590366</w:t>
        </w:r>
      </w:hyperlink>
      <w:r w:rsidDel="00000000" w:rsidR="00000000" w:rsidRPr="00000000">
        <w:rPr>
          <w:rtl w:val="0"/>
        </w:rPr>
      </w:r>
    </w:p>
    <w:p w:rsidR="00000000" w:rsidDel="00000000" w:rsidP="00000000" w:rsidRDefault="00000000" w:rsidRPr="00000000" w14:paraId="000000A2">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H., et al. (2025). The flipped classroom’s impact on students’ motivation and engagement. Nordic Journal of Digital Literacy, 20(3), 158–171.</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https://doi.org/10.18261/njdl.20.3.3</w:t>
        </w:r>
      </w:hyperlink>
      <w:r w:rsidDel="00000000" w:rsidR="00000000" w:rsidRPr="00000000">
        <w:rPr>
          <w:rtl w:val="0"/>
        </w:rPr>
      </w:r>
    </w:p>
    <w:p w:rsidR="00000000" w:rsidDel="00000000" w:rsidP="00000000" w:rsidRDefault="00000000" w:rsidRPr="00000000" w14:paraId="000000A3">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Inoncillo, F. A. (2024). Perceived Learning Management System Effectiveness, Teacher's Self-Efficacy, and Work Engagement: Groundwork for An Upskilling Plan. RSIS International.</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https://rsisinternational.org/journals/ijrsi/articles/perceived-learning-management-system-effectiveness-teachers-self-efficacy-and-work-engagement-groundwork-for-an-upskilling-plan/</w:t>
        </w:r>
      </w:hyperlink>
      <w:r w:rsidDel="00000000" w:rsidR="00000000" w:rsidRPr="00000000">
        <w:rPr>
          <w:rtl w:val="0"/>
        </w:rPr>
      </w:r>
    </w:p>
    <w:p w:rsidR="00000000" w:rsidDel="00000000" w:rsidP="00000000" w:rsidRDefault="00000000" w:rsidRPr="00000000" w14:paraId="000000A4">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Irawan, Y., et al. (2025). System Usability Scale (SUS) Model in Evaluating Internal Quality Audit Systems for Accreditation Process Optimization. Journal of Applied Informatics and Computing, 9(2).</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https://jurnal.polibatam.ac.id/index.php/JAIC/article/view/9210</w:t>
        </w:r>
      </w:hyperlink>
      <w:r w:rsidDel="00000000" w:rsidR="00000000" w:rsidRPr="00000000">
        <w:rPr>
          <w:rtl w:val="0"/>
        </w:rPr>
      </w:r>
    </w:p>
    <w:p w:rsidR="00000000" w:rsidDel="00000000" w:rsidP="00000000" w:rsidRDefault="00000000" w:rsidRPr="00000000" w14:paraId="000000A5">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Koca, P. P., &amp; Özcan, H. (2025). Usability in learning management systems: A mixed-method analysis. International Journal of Pioneering Technology and Engineering, 4(1), 17-25.</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https://doi.org/10.56158/jpte.2025.120.4.01</w:t>
        </w:r>
      </w:hyperlink>
      <w:r w:rsidDel="00000000" w:rsidR="00000000" w:rsidRPr="00000000">
        <w:rPr>
          <w:rtl w:val="0"/>
        </w:rPr>
      </w:r>
    </w:p>
    <w:p w:rsidR="00000000" w:rsidDel="00000000" w:rsidP="00000000" w:rsidRDefault="00000000" w:rsidRPr="00000000" w14:paraId="000000A6">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Z., Wang, Z., Wang, W., Hung, K., Xie, H., &amp; Wang, F. L. (2025). Retrieval-Augmented Generation for Educational Application: A Systematic Survey. Computers and Education: Artificial Intelligence, 8, 100417.</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https://doi.org/10.1016/j.caeai.2025.100417</w:t>
        </w:r>
      </w:hyperlink>
      <w:r w:rsidDel="00000000" w:rsidR="00000000" w:rsidRPr="00000000">
        <w:rPr>
          <w:rtl w:val="0"/>
        </w:rPr>
      </w:r>
    </w:p>
    <w:p w:rsidR="00000000" w:rsidDel="00000000" w:rsidP="00000000" w:rsidRDefault="00000000" w:rsidRPr="00000000" w14:paraId="000000A7">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T., et al. (2025). Exploring the impact of information and communication technology on educational administration: A systematic scoping review. Educ. Sci., 15(9), 1114.</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https://doi.org/10.3390/educsci15091114</w:t>
        </w:r>
      </w:hyperlink>
      <w:r w:rsidDel="00000000" w:rsidR="00000000" w:rsidRPr="00000000">
        <w:rPr>
          <w:rtl w:val="0"/>
        </w:rPr>
      </w:r>
    </w:p>
    <w:p w:rsidR="00000000" w:rsidDel="00000000" w:rsidP="00000000" w:rsidRDefault="00000000" w:rsidRPr="00000000" w14:paraId="000000A8">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Makie, G., et al. (2025). The influence of online learning on the academic and social behaviors of college students. Journal of Interdisciplinary Perspectives, 3(5), 274–281.</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https://doi.org/10.69569/jip.2025.163</w:t>
        </w:r>
      </w:hyperlink>
      <w:r w:rsidDel="00000000" w:rsidR="00000000" w:rsidRPr="00000000">
        <w:rPr>
          <w:rtl w:val="0"/>
        </w:rPr>
      </w:r>
    </w:p>
    <w:p w:rsidR="00000000" w:rsidDel="00000000" w:rsidP="00000000" w:rsidRDefault="00000000" w:rsidRPr="00000000" w14:paraId="000000A9">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Malik, S., &amp; Bhatia, A. (2026). Blockchain technology for document verification in education: a bibliometric analysis and future research directions. Journal of Modelling in Management, 1–31.</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https://doi.org/10.1108/JM2-09-2025-0478</w:t>
        </w:r>
      </w:hyperlink>
      <w:r w:rsidDel="00000000" w:rsidR="00000000" w:rsidRPr="00000000">
        <w:rPr>
          <w:rtl w:val="0"/>
        </w:rPr>
      </w:r>
    </w:p>
    <w:p w:rsidR="00000000" w:rsidDel="00000000" w:rsidP="00000000" w:rsidRDefault="00000000" w:rsidRPr="00000000" w14:paraId="000000AA">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Mollel, E., et al. (2025). The influence of online teaching modes on the promotion of online learning in higher learning institutions in Tanzania. International Journal of Education Humanities and Social Science, 8, 1143.</w:t>
      </w:r>
      <w:hyperlink r:id="rId67">
        <w:r w:rsidDel="00000000" w:rsidR="00000000" w:rsidRPr="00000000">
          <w:rPr>
            <w:rFonts w:ascii="Times New Roman" w:cs="Times New Roman" w:eastAsia="Times New Roman" w:hAnsi="Times New Roman"/>
            <w:sz w:val="24"/>
            <w:szCs w:val="24"/>
            <w:rtl w:val="0"/>
          </w:rPr>
          <w:t xml:space="preserve"> </w:t>
        </w:r>
      </w:hyperlink>
      <w:hyperlink r:id="rId68">
        <w:r w:rsidDel="00000000" w:rsidR="00000000" w:rsidRPr="00000000">
          <w:rPr>
            <w:rFonts w:ascii="Times New Roman" w:cs="Times New Roman" w:eastAsia="Times New Roman" w:hAnsi="Times New Roman"/>
            <w:color w:val="1155cc"/>
            <w:sz w:val="24"/>
            <w:szCs w:val="24"/>
            <w:u w:val="single"/>
            <w:rtl w:val="0"/>
          </w:rPr>
          <w:t xml:space="preserve">https://doi.org/10.54922/IJEHSS.2025.1143</w:t>
        </w:r>
      </w:hyperlink>
      <w:r w:rsidDel="00000000" w:rsidR="00000000" w:rsidRPr="00000000">
        <w:rPr>
          <w:rtl w:val="0"/>
        </w:rPr>
      </w:r>
    </w:p>
    <w:p w:rsidR="00000000" w:rsidDel="00000000" w:rsidP="00000000" w:rsidRDefault="00000000" w:rsidRPr="00000000" w14:paraId="000000AB">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Ohlhaver, P., et al. (2022). Decentralized Society: Finding Web3's Soul. SSRN Electronic Journal.</w:t>
      </w:r>
      <w:hyperlink r:id="rId69">
        <w:r w:rsidDel="00000000" w:rsidR="00000000" w:rsidRPr="00000000">
          <w:rPr>
            <w:rFonts w:ascii="Times New Roman" w:cs="Times New Roman" w:eastAsia="Times New Roman" w:hAnsi="Times New Roman"/>
            <w:sz w:val="24"/>
            <w:szCs w:val="24"/>
            <w:rtl w:val="0"/>
          </w:rPr>
          <w:t xml:space="preserve"> </w:t>
        </w:r>
      </w:hyperlink>
      <w:hyperlink r:id="rId70">
        <w:r w:rsidDel="00000000" w:rsidR="00000000" w:rsidRPr="00000000">
          <w:rPr>
            <w:rFonts w:ascii="Times New Roman" w:cs="Times New Roman" w:eastAsia="Times New Roman" w:hAnsi="Times New Roman"/>
            <w:color w:val="1155cc"/>
            <w:sz w:val="24"/>
            <w:szCs w:val="24"/>
            <w:u w:val="single"/>
            <w:rtl w:val="0"/>
          </w:rPr>
          <w:t xml:space="preserve">https://doi.org/10.2139/ssrn.4105763</w:t>
        </w:r>
      </w:hyperlink>
      <w:r w:rsidDel="00000000" w:rsidR="00000000" w:rsidRPr="00000000">
        <w:rPr>
          <w:rtl w:val="0"/>
        </w:rPr>
      </w:r>
    </w:p>
    <w:p w:rsidR="00000000" w:rsidDel="00000000" w:rsidP="00000000" w:rsidRDefault="00000000" w:rsidRPr="00000000" w14:paraId="000000AC">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Ote, A. (2026). AI-DUCATION: Awareness and Competencies of Senior High School Students in the Use of Generative Artificial Intelligence as Basis for a Support System Program. International Journal of Education, Research, and Innovation Perspectives, 2(5), 641-648.</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https://doi.org/10.5281/zenodo.20178701</w:t>
        </w:r>
      </w:hyperlink>
      <w:r w:rsidDel="00000000" w:rsidR="00000000" w:rsidRPr="00000000">
        <w:rPr>
          <w:rtl w:val="0"/>
        </w:rPr>
      </w:r>
    </w:p>
    <w:p w:rsidR="00000000" w:rsidDel="00000000" w:rsidP="00000000" w:rsidRDefault="00000000" w:rsidRPr="00000000" w14:paraId="000000AD">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PBEd, &amp; Department of Education. (2022). Basic Education Development Plan 2030. DepEd Philippines.</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https://www.deped.gov.ph/wp-content/uploads/2022/05/DO_s2022_024.pdf</w:t>
        </w:r>
      </w:hyperlink>
      <w:r w:rsidDel="00000000" w:rsidR="00000000" w:rsidRPr="00000000">
        <w:rPr>
          <w:rtl w:val="0"/>
        </w:rPr>
      </w:r>
    </w:p>
    <w:p w:rsidR="00000000" w:rsidDel="00000000" w:rsidP="00000000" w:rsidRDefault="00000000" w:rsidRPr="00000000" w14:paraId="000000AE">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Pentang, J. T., Bucad, M. L., &amp; Bautista, R. M. (2025). Flexible learning modalities in the Philippines: COVID-19 and beyond. IIARI.</w:t>
      </w:r>
      <w:hyperlink r:id="rId75">
        <w:r w:rsidDel="00000000" w:rsidR="00000000" w:rsidRPr="00000000">
          <w:rPr>
            <w:rFonts w:ascii="Times New Roman" w:cs="Times New Roman" w:eastAsia="Times New Roman" w:hAnsi="Times New Roman"/>
            <w:sz w:val="24"/>
            <w:szCs w:val="24"/>
            <w:rtl w:val="0"/>
          </w:rPr>
          <w:t xml:space="preserve"> </w:t>
        </w:r>
      </w:hyperlink>
      <w:hyperlink r:id="rId76">
        <w:r w:rsidDel="00000000" w:rsidR="00000000" w:rsidRPr="00000000">
          <w:rPr>
            <w:rFonts w:ascii="Times New Roman" w:cs="Times New Roman" w:eastAsia="Times New Roman" w:hAnsi="Times New Roman"/>
            <w:color w:val="1155cc"/>
            <w:sz w:val="24"/>
            <w:szCs w:val="24"/>
            <w:u w:val="single"/>
            <w:rtl w:val="0"/>
          </w:rPr>
          <w:t xml:space="preserve">https://iiari.org/online_book/teaching-and-learning-beyond-the-classroom/flexible-learning-modalities-in-the-philippines-covid-19-and-beyond/</w:t>
        </w:r>
      </w:hyperlink>
      <w:r w:rsidDel="00000000" w:rsidR="00000000" w:rsidRPr="00000000">
        <w:rPr>
          <w:rtl w:val="0"/>
        </w:rPr>
      </w:r>
    </w:p>
    <w:p w:rsidR="00000000" w:rsidDel="00000000" w:rsidP="00000000" w:rsidRDefault="00000000" w:rsidRPr="00000000" w14:paraId="000000AF">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Pugoy, R. A. (2025). Intelligent Futures Begin with Usable Systems: A Dual-Lens Analysis of Learning Management System Usability and Artificial Intelligence Adoption Readiness at the University of the Philippines Open University. ASEAN Journal of Open and Distance Learning, 17(2), 82-96.</w:t>
      </w:r>
      <w:hyperlink r:id="rId77">
        <w:r w:rsidDel="00000000" w:rsidR="00000000" w:rsidRPr="00000000">
          <w:rPr>
            <w:rFonts w:ascii="Times New Roman" w:cs="Times New Roman" w:eastAsia="Times New Roman" w:hAnsi="Times New Roman"/>
            <w:sz w:val="24"/>
            <w:szCs w:val="24"/>
            <w:rtl w:val="0"/>
          </w:rPr>
          <w:t xml:space="preserve"> </w:t>
        </w:r>
      </w:hyperlink>
      <w:hyperlink r:id="rId78">
        <w:r w:rsidDel="00000000" w:rsidR="00000000" w:rsidRPr="00000000">
          <w:rPr>
            <w:rFonts w:ascii="Times New Roman" w:cs="Times New Roman" w:eastAsia="Times New Roman" w:hAnsi="Times New Roman"/>
            <w:color w:val="1155cc"/>
            <w:sz w:val="24"/>
            <w:szCs w:val="24"/>
            <w:u w:val="single"/>
            <w:rtl w:val="0"/>
          </w:rPr>
          <w:t xml:space="preserve">https://doi.org/10.64233/BUGI8353</w:t>
        </w:r>
      </w:hyperlink>
      <w:r w:rsidDel="00000000" w:rsidR="00000000" w:rsidRPr="00000000">
        <w:rPr>
          <w:rtl w:val="0"/>
        </w:rPr>
      </w:r>
    </w:p>
    <w:p w:rsidR="00000000" w:rsidDel="00000000" w:rsidP="00000000" w:rsidRDefault="00000000" w:rsidRPr="00000000" w14:paraId="000000B0">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Reddy, S., &amp; Kushwaha, D. S. (2023). Framework for privacy preserving credential issuance and verification system using soulbound token. ITM Web of Conferences, 56, 06002.</w:t>
      </w:r>
      <w:hyperlink r:id="rId79">
        <w:r w:rsidDel="00000000" w:rsidR="00000000" w:rsidRPr="00000000">
          <w:rPr>
            <w:rFonts w:ascii="Times New Roman" w:cs="Times New Roman" w:eastAsia="Times New Roman" w:hAnsi="Times New Roman"/>
            <w:sz w:val="24"/>
            <w:szCs w:val="24"/>
            <w:rtl w:val="0"/>
          </w:rPr>
          <w:t xml:space="preserve"> </w:t>
        </w:r>
      </w:hyperlink>
      <w:hyperlink r:id="rId80">
        <w:r w:rsidDel="00000000" w:rsidR="00000000" w:rsidRPr="00000000">
          <w:rPr>
            <w:rFonts w:ascii="Times New Roman" w:cs="Times New Roman" w:eastAsia="Times New Roman" w:hAnsi="Times New Roman"/>
            <w:color w:val="1155cc"/>
            <w:sz w:val="24"/>
            <w:szCs w:val="24"/>
            <w:u w:val="single"/>
            <w:rtl w:val="0"/>
          </w:rPr>
          <w:t xml:space="preserve">https://doi.org/10.1051/itmconf/20235606002</w:t>
        </w:r>
      </w:hyperlink>
      <w:r w:rsidDel="00000000" w:rsidR="00000000" w:rsidRPr="00000000">
        <w:rPr>
          <w:rtl w:val="0"/>
        </w:rPr>
      </w:r>
    </w:p>
    <w:p w:rsidR="00000000" w:rsidDel="00000000" w:rsidP="00000000" w:rsidRDefault="00000000" w:rsidRPr="00000000" w14:paraId="000000B1">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Ritchie, D. (2026). From design to discourse: Generative AI in secondary and college classrooms. UC Irvine Electronic Theses and Dissertations.</w:t>
      </w:r>
      <w:hyperlink r:id="rId81">
        <w:r w:rsidDel="00000000" w:rsidR="00000000" w:rsidRPr="00000000">
          <w:rPr>
            <w:rFonts w:ascii="Times New Roman" w:cs="Times New Roman" w:eastAsia="Times New Roman" w:hAnsi="Times New Roman"/>
            <w:sz w:val="24"/>
            <w:szCs w:val="24"/>
            <w:rtl w:val="0"/>
          </w:rPr>
          <w:t xml:space="preserve"> </w:t>
        </w:r>
      </w:hyperlink>
      <w:hyperlink r:id="rId82">
        <w:r w:rsidDel="00000000" w:rsidR="00000000" w:rsidRPr="00000000">
          <w:rPr>
            <w:rFonts w:ascii="Times New Roman" w:cs="Times New Roman" w:eastAsia="Times New Roman" w:hAnsi="Times New Roman"/>
            <w:color w:val="1155cc"/>
            <w:sz w:val="24"/>
            <w:szCs w:val="24"/>
            <w:u w:val="single"/>
            <w:rtl w:val="0"/>
          </w:rPr>
          <w:t xml:space="preserve">https://escholarship.org/uc/item/3pv3t1rg</w:t>
        </w:r>
      </w:hyperlink>
      <w:r w:rsidDel="00000000" w:rsidR="00000000" w:rsidRPr="00000000">
        <w:rPr>
          <w:rtl w:val="0"/>
        </w:rPr>
      </w:r>
    </w:p>
    <w:p w:rsidR="00000000" w:rsidDel="00000000" w:rsidP="00000000" w:rsidRDefault="00000000" w:rsidRPr="00000000" w14:paraId="000000B2">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Robal, T., Reinsalu, U., Jürimägi, L., &amp; Heinsar, R. (2024). Introducing rapid web application development with Oracle APEX to students of higher education. New Trends in Computer Sciences, 2, 69–80.</w:t>
      </w:r>
      <w:hyperlink r:id="rId83">
        <w:r w:rsidDel="00000000" w:rsidR="00000000" w:rsidRPr="00000000">
          <w:rPr>
            <w:rFonts w:ascii="Times New Roman" w:cs="Times New Roman" w:eastAsia="Times New Roman" w:hAnsi="Times New Roman"/>
            <w:sz w:val="24"/>
            <w:szCs w:val="24"/>
            <w:rtl w:val="0"/>
          </w:rPr>
          <w:t xml:space="preserve"> </w:t>
        </w:r>
      </w:hyperlink>
      <w:hyperlink r:id="rId84">
        <w:r w:rsidDel="00000000" w:rsidR="00000000" w:rsidRPr="00000000">
          <w:rPr>
            <w:rFonts w:ascii="Times New Roman" w:cs="Times New Roman" w:eastAsia="Times New Roman" w:hAnsi="Times New Roman"/>
            <w:color w:val="1155cc"/>
            <w:sz w:val="24"/>
            <w:szCs w:val="24"/>
            <w:u w:val="single"/>
            <w:rtl w:val="0"/>
          </w:rPr>
          <w:t xml:space="preserve">https://doi.org/10.3846/ntcs.2024.21227</w:t>
        </w:r>
      </w:hyperlink>
      <w:r w:rsidDel="00000000" w:rsidR="00000000" w:rsidRPr="00000000">
        <w:rPr>
          <w:rtl w:val="0"/>
        </w:rPr>
      </w:r>
    </w:p>
    <w:p w:rsidR="00000000" w:rsidDel="00000000" w:rsidP="00000000" w:rsidRDefault="00000000" w:rsidRPr="00000000" w14:paraId="000000B3">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Sesmiarni, Z., Hoque, M. E., Susanto, P., Islam, M. A., &amp; Hendrayati, H. (2024). Adoption of SPACE-learning management system in education era 4.0: an extended technology acceptance model with self-efficacy. Frontiers in Education, 9.</w:t>
      </w:r>
      <w:hyperlink r:id="rId85">
        <w:r w:rsidDel="00000000" w:rsidR="00000000" w:rsidRPr="00000000">
          <w:rPr>
            <w:rFonts w:ascii="Times New Roman" w:cs="Times New Roman" w:eastAsia="Times New Roman" w:hAnsi="Times New Roman"/>
            <w:sz w:val="24"/>
            <w:szCs w:val="24"/>
            <w:rtl w:val="0"/>
          </w:rPr>
          <w:t xml:space="preserve"> </w:t>
        </w:r>
      </w:hyperlink>
      <w:hyperlink r:id="rId86">
        <w:r w:rsidDel="00000000" w:rsidR="00000000" w:rsidRPr="00000000">
          <w:rPr>
            <w:rFonts w:ascii="Times New Roman" w:cs="Times New Roman" w:eastAsia="Times New Roman" w:hAnsi="Times New Roman"/>
            <w:color w:val="1155cc"/>
            <w:sz w:val="24"/>
            <w:szCs w:val="24"/>
            <w:u w:val="single"/>
            <w:rtl w:val="0"/>
          </w:rPr>
          <w:t xml:space="preserve">https://doi.org/10.3389/feduc.2024.1457188</w:t>
        </w:r>
      </w:hyperlink>
      <w:r w:rsidDel="00000000" w:rsidR="00000000" w:rsidRPr="00000000">
        <w:rPr>
          <w:rtl w:val="0"/>
        </w:rPr>
      </w:r>
    </w:p>
    <w:p w:rsidR="00000000" w:rsidDel="00000000" w:rsidP="00000000" w:rsidRDefault="00000000" w:rsidRPr="00000000" w14:paraId="000000B4">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H., et al. (2026). GasLiteAA: Optimizing ERC-4337 for Efficient and Secure Gas Sponsorship. arXiv preprint.</w:t>
      </w:r>
      <w:hyperlink r:id="rId87">
        <w:r w:rsidDel="00000000" w:rsidR="00000000" w:rsidRPr="00000000">
          <w:rPr>
            <w:rFonts w:ascii="Times New Roman" w:cs="Times New Roman" w:eastAsia="Times New Roman" w:hAnsi="Times New Roman"/>
            <w:sz w:val="24"/>
            <w:szCs w:val="24"/>
            <w:rtl w:val="0"/>
          </w:rPr>
          <w:t xml:space="preserve"> </w:t>
        </w:r>
      </w:hyperlink>
      <w:hyperlink r:id="rId88">
        <w:r w:rsidDel="00000000" w:rsidR="00000000" w:rsidRPr="00000000">
          <w:rPr>
            <w:rFonts w:ascii="Times New Roman" w:cs="Times New Roman" w:eastAsia="Times New Roman" w:hAnsi="Times New Roman"/>
            <w:color w:val="1155cc"/>
            <w:sz w:val="24"/>
            <w:szCs w:val="24"/>
            <w:u w:val="single"/>
            <w:rtl w:val="0"/>
          </w:rPr>
          <w:t xml:space="preserve">https://arxiv.org/pdf/2604.10160</w:t>
        </w:r>
      </w:hyperlink>
      <w:r w:rsidDel="00000000" w:rsidR="00000000" w:rsidRPr="00000000">
        <w:rPr>
          <w:rtl w:val="0"/>
        </w:rPr>
      </w:r>
    </w:p>
    <w:p w:rsidR="00000000" w:rsidDel="00000000" w:rsidP="00000000" w:rsidRDefault="00000000" w:rsidRPr="00000000" w14:paraId="000000B5">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Sudestra, I. M. A., et al. (2024). Improving Digital Learning: Evaluating The U Learn LMS With The System Usability Scale. JIPI (Jurnal Ilmiah Penelitian dan Pembelajaran Informatika), 9(4), 2325-2332.</w:t>
      </w:r>
      <w:hyperlink r:id="rId89">
        <w:r w:rsidDel="00000000" w:rsidR="00000000" w:rsidRPr="00000000">
          <w:rPr>
            <w:rFonts w:ascii="Times New Roman" w:cs="Times New Roman" w:eastAsia="Times New Roman" w:hAnsi="Times New Roman"/>
            <w:sz w:val="24"/>
            <w:szCs w:val="24"/>
            <w:rtl w:val="0"/>
          </w:rPr>
          <w:t xml:space="preserve"> </w:t>
        </w:r>
      </w:hyperlink>
      <w:hyperlink r:id="rId90">
        <w:r w:rsidDel="00000000" w:rsidR="00000000" w:rsidRPr="00000000">
          <w:rPr>
            <w:rFonts w:ascii="Times New Roman" w:cs="Times New Roman" w:eastAsia="Times New Roman" w:hAnsi="Times New Roman"/>
            <w:color w:val="1155cc"/>
            <w:sz w:val="24"/>
            <w:szCs w:val="24"/>
            <w:u w:val="single"/>
            <w:rtl w:val="0"/>
          </w:rPr>
          <w:t xml:space="preserve">https://doi.org/10.29100/jipi.v9i4.6910</w:t>
        </w:r>
      </w:hyperlink>
      <w:r w:rsidDel="00000000" w:rsidR="00000000" w:rsidRPr="00000000">
        <w:rPr>
          <w:rtl w:val="0"/>
        </w:rPr>
      </w:r>
    </w:p>
    <w:p w:rsidR="00000000" w:rsidDel="00000000" w:rsidP="00000000" w:rsidRDefault="00000000" w:rsidRPr="00000000" w14:paraId="000000B6">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Sultana, S. A., Rupa, C., Malleswari, R. P., &amp; Gadekallu, T. R. (2023). IPFS-Blockchain Smart Contracts Based Conceptual Framework to Reduce Certificate Frauds in the Academic Field. Information, 14(8), 446.</w:t>
      </w:r>
      <w:hyperlink r:id="rId91">
        <w:r w:rsidDel="00000000" w:rsidR="00000000" w:rsidRPr="00000000">
          <w:rPr>
            <w:rFonts w:ascii="Times New Roman" w:cs="Times New Roman" w:eastAsia="Times New Roman" w:hAnsi="Times New Roman"/>
            <w:sz w:val="24"/>
            <w:szCs w:val="24"/>
            <w:rtl w:val="0"/>
          </w:rPr>
          <w:t xml:space="preserve"> </w:t>
        </w:r>
      </w:hyperlink>
      <w:hyperlink r:id="rId92">
        <w:r w:rsidDel="00000000" w:rsidR="00000000" w:rsidRPr="00000000">
          <w:rPr>
            <w:rFonts w:ascii="Times New Roman" w:cs="Times New Roman" w:eastAsia="Times New Roman" w:hAnsi="Times New Roman"/>
            <w:color w:val="1155cc"/>
            <w:sz w:val="24"/>
            <w:szCs w:val="24"/>
            <w:u w:val="single"/>
            <w:rtl w:val="0"/>
          </w:rPr>
          <w:t xml:space="preserve">https://doi.org/10.3390/info14080446</w:t>
        </w:r>
      </w:hyperlink>
      <w:r w:rsidDel="00000000" w:rsidR="00000000" w:rsidRPr="00000000">
        <w:rPr>
          <w:rtl w:val="0"/>
        </w:rPr>
      </w:r>
    </w:p>
    <w:p w:rsidR="00000000" w:rsidDel="00000000" w:rsidP="00000000" w:rsidRDefault="00000000" w:rsidRPr="00000000" w14:paraId="000000B7">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Tus, J., et al. (2021). Social media addiction and depression among Filipino senior high school students during the COVID-19 pandemic. Figshare.</w:t>
      </w:r>
      <w:hyperlink r:id="rId93">
        <w:r w:rsidDel="00000000" w:rsidR="00000000" w:rsidRPr="00000000">
          <w:rPr>
            <w:rFonts w:ascii="Times New Roman" w:cs="Times New Roman" w:eastAsia="Times New Roman" w:hAnsi="Times New Roman"/>
            <w:sz w:val="24"/>
            <w:szCs w:val="24"/>
            <w:rtl w:val="0"/>
          </w:rPr>
          <w:t xml:space="preserve"> </w:t>
        </w:r>
      </w:hyperlink>
      <w:hyperlink r:id="rId94">
        <w:r w:rsidDel="00000000" w:rsidR="00000000" w:rsidRPr="00000000">
          <w:rPr>
            <w:rFonts w:ascii="Times New Roman" w:cs="Times New Roman" w:eastAsia="Times New Roman" w:hAnsi="Times New Roman"/>
            <w:color w:val="1155cc"/>
            <w:sz w:val="24"/>
            <w:szCs w:val="24"/>
            <w:u w:val="single"/>
            <w:rtl w:val="0"/>
          </w:rPr>
          <w:t xml:space="preserve">https://doi.org/10.6084/m9.figshare.17088569.v3</w:t>
        </w:r>
      </w:hyperlink>
      <w:r w:rsidDel="00000000" w:rsidR="00000000" w:rsidRPr="00000000">
        <w:rPr>
          <w:rtl w:val="0"/>
        </w:rPr>
      </w:r>
    </w:p>
    <w:p w:rsidR="00000000" w:rsidDel="00000000" w:rsidP="00000000" w:rsidRDefault="00000000" w:rsidRPr="00000000" w14:paraId="000000B8">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 S., &amp; Hijós, A. Q. (2025). Key performance indicators for optimizing academic performance and course design in online educational platforms. Cogent Education, 12(1).</w:t>
      </w:r>
      <w:hyperlink r:id="rId95">
        <w:r w:rsidDel="00000000" w:rsidR="00000000" w:rsidRPr="00000000">
          <w:rPr>
            <w:rFonts w:ascii="Times New Roman" w:cs="Times New Roman" w:eastAsia="Times New Roman" w:hAnsi="Times New Roman"/>
            <w:sz w:val="24"/>
            <w:szCs w:val="24"/>
            <w:rtl w:val="0"/>
          </w:rPr>
          <w:t xml:space="preserve"> </w:t>
        </w:r>
      </w:hyperlink>
      <w:hyperlink r:id="rId96">
        <w:r w:rsidDel="00000000" w:rsidR="00000000" w:rsidRPr="00000000">
          <w:rPr>
            <w:rFonts w:ascii="Times New Roman" w:cs="Times New Roman" w:eastAsia="Times New Roman" w:hAnsi="Times New Roman"/>
            <w:color w:val="1155cc"/>
            <w:sz w:val="24"/>
            <w:szCs w:val="24"/>
            <w:u w:val="single"/>
            <w:rtl w:val="0"/>
          </w:rPr>
          <w:t xml:space="preserve">https://doi.org/10.1080/2331186X.2025.2529420</w:t>
        </w:r>
      </w:hyperlink>
      <w:r w:rsidDel="00000000" w:rsidR="00000000" w:rsidRPr="00000000">
        <w:rPr>
          <w:rtl w:val="0"/>
        </w:rPr>
      </w:r>
    </w:p>
    <w:p w:rsidR="00000000" w:rsidDel="00000000" w:rsidP="00000000" w:rsidRDefault="00000000" w:rsidRPr="00000000" w14:paraId="000000B9">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Vargas, R. D., et al. (2024). Impact of Learning Management System (LMS) on academic performance of selected first year nursing students in Perpetual Help College of Manila. Aloysian Interdisciplinary Journal of Social Sciences, Education, and Allied Fields.</w:t>
      </w:r>
      <w:hyperlink r:id="rId97">
        <w:r w:rsidDel="00000000" w:rsidR="00000000" w:rsidRPr="00000000">
          <w:rPr>
            <w:rFonts w:ascii="Times New Roman" w:cs="Times New Roman" w:eastAsia="Times New Roman" w:hAnsi="Times New Roman"/>
            <w:sz w:val="24"/>
            <w:szCs w:val="24"/>
            <w:rtl w:val="0"/>
          </w:rPr>
          <w:t xml:space="preserve"> </w:t>
        </w:r>
      </w:hyperlink>
      <w:hyperlink r:id="rId98">
        <w:r w:rsidDel="00000000" w:rsidR="00000000" w:rsidRPr="00000000">
          <w:rPr>
            <w:rFonts w:ascii="Times New Roman" w:cs="Times New Roman" w:eastAsia="Times New Roman" w:hAnsi="Times New Roman"/>
            <w:color w:val="1155cc"/>
            <w:sz w:val="24"/>
            <w:szCs w:val="24"/>
            <w:u w:val="single"/>
            <w:rtl w:val="0"/>
          </w:rPr>
          <w:t xml:space="preserve">https://journals.aloysianpublications.com/index.php/articles/article/view/431</w:t>
        </w:r>
      </w:hyperlink>
      <w:r w:rsidDel="00000000" w:rsidR="00000000" w:rsidRPr="00000000">
        <w:rPr>
          <w:rtl w:val="0"/>
        </w:rPr>
      </w:r>
    </w:p>
    <w:p w:rsidR="00000000" w:rsidDel="00000000" w:rsidP="00000000" w:rsidRDefault="00000000" w:rsidRPr="00000000" w14:paraId="000000BA">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Wijaya, L., et al. (2025). Acceptance of AI in Philippine Higher Education: Exploring the Role of Perceived Interactivity, Satisfaction, and Value on ChatGPT Use Among Manila Undergraduates. 2025 Tenth International Conference on Informatics and Computing (ICIC).</w:t>
      </w:r>
      <w:hyperlink r:id="rId99">
        <w:r w:rsidDel="00000000" w:rsidR="00000000" w:rsidRPr="00000000">
          <w:rPr>
            <w:rFonts w:ascii="Times New Roman" w:cs="Times New Roman" w:eastAsia="Times New Roman" w:hAnsi="Times New Roman"/>
            <w:sz w:val="24"/>
            <w:szCs w:val="24"/>
            <w:rtl w:val="0"/>
          </w:rPr>
          <w:t xml:space="preserve"> </w:t>
        </w:r>
      </w:hyperlink>
      <w:hyperlink r:id="rId100">
        <w:r w:rsidDel="00000000" w:rsidR="00000000" w:rsidRPr="00000000">
          <w:rPr>
            <w:rFonts w:ascii="Times New Roman" w:cs="Times New Roman" w:eastAsia="Times New Roman" w:hAnsi="Times New Roman"/>
            <w:color w:val="1155cc"/>
            <w:sz w:val="24"/>
            <w:szCs w:val="24"/>
            <w:u w:val="single"/>
            <w:rtl w:val="0"/>
          </w:rPr>
          <w:t xml:space="preserve">https://doi.org/10.1109/ICIC68054.2025.11309368</w:t>
        </w:r>
      </w:hyperlink>
      <w:r w:rsidDel="00000000" w:rsidR="00000000" w:rsidRPr="00000000">
        <w:rPr>
          <w:rtl w:val="0"/>
        </w:rPr>
      </w:r>
    </w:p>
    <w:p w:rsidR="00000000" w:rsidDel="00000000" w:rsidP="00000000" w:rsidRDefault="00000000" w:rsidRPr="00000000" w14:paraId="000000BB">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Xuan, W. (2026). Implementing Retrieval-Augmented Generation for Academic Libraries: A Technical Case Study using Azure AI. International Journal of Librarianship, 11(1), 151–166.</w:t>
      </w:r>
      <w:hyperlink r:id="rId101">
        <w:r w:rsidDel="00000000" w:rsidR="00000000" w:rsidRPr="00000000">
          <w:rPr>
            <w:rFonts w:ascii="Times New Roman" w:cs="Times New Roman" w:eastAsia="Times New Roman" w:hAnsi="Times New Roman"/>
            <w:sz w:val="24"/>
            <w:szCs w:val="24"/>
            <w:rtl w:val="0"/>
          </w:rPr>
          <w:t xml:space="preserve"> </w:t>
        </w:r>
      </w:hyperlink>
      <w:hyperlink r:id="rId102">
        <w:r w:rsidDel="00000000" w:rsidR="00000000" w:rsidRPr="00000000">
          <w:rPr>
            <w:rFonts w:ascii="Times New Roman" w:cs="Times New Roman" w:eastAsia="Times New Roman" w:hAnsi="Times New Roman"/>
            <w:color w:val="1155cc"/>
            <w:sz w:val="24"/>
            <w:szCs w:val="24"/>
            <w:u w:val="single"/>
            <w:rtl w:val="0"/>
          </w:rPr>
          <w:t xml:space="preserve">https://journal.calaijol.org/index.php/ijol/article/view/601</w:t>
        </w:r>
      </w:hyperlink>
      <w:r w:rsidDel="00000000" w:rsidR="00000000" w:rsidRPr="00000000">
        <w:rPr>
          <w:rtl w:val="0"/>
        </w:rPr>
      </w:r>
    </w:p>
    <w:p w:rsidR="00000000" w:rsidDel="00000000" w:rsidP="00000000" w:rsidRDefault="00000000" w:rsidRPr="00000000" w14:paraId="000000B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480" w:lineRule="auto"/>
        <w:rPr>
          <w:rFonts w:ascii="Times New Roman" w:cs="Times New Roman" w:eastAsia="Times New Roman" w:hAnsi="Times New Roman"/>
          <w:sz w:val="24"/>
          <w:szCs w:val="24"/>
        </w:rPr>
      </w:pPr>
      <w:r w:rsidDel="00000000" w:rsidR="00000000" w:rsidRPr="00000000">
        <w:rPr>
          <w:rtl w:val="0"/>
        </w:rPr>
      </w:r>
    </w:p>
    <w:sectPr>
      <w:headerReference r:id="rId103" w:type="default"/>
      <w:headerReference r:id="rId104" w:type="first"/>
      <w:headerReference r:id="rId105" w:type="even"/>
      <w:footerReference r:id="rId106" w:type="default"/>
      <w:footerReference r:id="rId107" w:type="first"/>
      <w:footerReference r:id="rId108" w:type="even"/>
      <w:pgSz w:h="16836" w:w="11904" w:orient="portrait"/>
      <w:pgMar w:bottom="1440" w:top="2160" w:left="2160" w:right="1440" w:header="709"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360"/>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tabs>
        <w:tab w:val="center" w:leader="none" w:pos="4680"/>
        <w:tab w:val="right" w:leader="none" w:pos="9360"/>
      </w:tabs>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deped.gov.ph/wp-content/uploads/DO_s2026_003r-1.pdf" TargetMode="External"/><Relationship Id="rId42" Type="http://schemas.openxmlformats.org/officeDocument/2006/relationships/hyperlink" Target="https://ejournals.ph/article.php?id=31492" TargetMode="External"/><Relationship Id="rId41" Type="http://schemas.openxmlformats.org/officeDocument/2006/relationships/hyperlink" Target="https://ejournals.ph/article.php?id=31492" TargetMode="External"/><Relationship Id="rId44" Type="http://schemas.openxmlformats.org/officeDocument/2006/relationships/hyperlink" Target="https://doi.org/10.1145/3696230.3696266" TargetMode="External"/><Relationship Id="rId43" Type="http://schemas.openxmlformats.org/officeDocument/2006/relationships/hyperlink" Target="https://doi.org/10.1145/3696230.3696266" TargetMode="External"/><Relationship Id="rId46" Type="http://schemas.openxmlformats.org/officeDocument/2006/relationships/hyperlink" Target="https://doi.org/10.23887/jpi-undiksha.v9i3.24276" TargetMode="External"/><Relationship Id="rId45" Type="http://schemas.openxmlformats.org/officeDocument/2006/relationships/hyperlink" Target="https://doi.org/10.23887/jpi-undiksha.v9i3.24276" TargetMode="External"/><Relationship Id="rId107" Type="http://schemas.openxmlformats.org/officeDocument/2006/relationships/footer" Target="footer3.xml"/><Relationship Id="rId106" Type="http://schemas.openxmlformats.org/officeDocument/2006/relationships/footer" Target="footer2.xml"/><Relationship Id="rId105" Type="http://schemas.openxmlformats.org/officeDocument/2006/relationships/header" Target="header1.xml"/><Relationship Id="rId104" Type="http://schemas.openxmlformats.org/officeDocument/2006/relationships/header" Target="header3.xml"/><Relationship Id="rId108" Type="http://schemas.openxmlformats.org/officeDocument/2006/relationships/footer" Target="footer1.xml"/><Relationship Id="rId48" Type="http://schemas.openxmlformats.org/officeDocument/2006/relationships/hyperlink" Target="https://ijemst.com/index.php/ijemst/article/view/5683" TargetMode="External"/><Relationship Id="rId47" Type="http://schemas.openxmlformats.org/officeDocument/2006/relationships/hyperlink" Target="https://ijemst.com/index.php/ijemst/article/view/5683" TargetMode="External"/><Relationship Id="rId49" Type="http://schemas.openxmlformats.org/officeDocument/2006/relationships/hyperlink" Target="https://doi.org/10.5220/0009151303590366" TargetMode="External"/><Relationship Id="rId103" Type="http://schemas.openxmlformats.org/officeDocument/2006/relationships/header" Target="header2.xml"/><Relationship Id="rId102" Type="http://schemas.openxmlformats.org/officeDocument/2006/relationships/hyperlink" Target="https://journal.calaijol.org/index.php/ijol/article/view/601" TargetMode="External"/><Relationship Id="rId101" Type="http://schemas.openxmlformats.org/officeDocument/2006/relationships/hyperlink" Target="https://journal.calaijol.org/index.php/ijol/article/view/601" TargetMode="External"/><Relationship Id="rId100" Type="http://schemas.openxmlformats.org/officeDocument/2006/relationships/hyperlink" Target="https://doi.org/10.1109/ICIC68054.2025.11309368" TargetMode="External"/><Relationship Id="rId31" Type="http://schemas.openxmlformats.org/officeDocument/2006/relationships/hyperlink" Target="https://rsisinternational.org/journals/ijrsi/articles/utilization-of-artificial-intelligence-ai-tools-among-senior-high-school-students-inputs-for-policy-recommendations/" TargetMode="External"/><Relationship Id="rId30" Type="http://schemas.openxmlformats.org/officeDocument/2006/relationships/hyperlink" Target="https://doi.org/10.5861/ijrse.2024.24603" TargetMode="External"/><Relationship Id="rId33" Type="http://schemas.openxmlformats.org/officeDocument/2006/relationships/hyperlink" Target="https://doi.org/10.33225/pec/24.82.630" TargetMode="External"/><Relationship Id="rId32" Type="http://schemas.openxmlformats.org/officeDocument/2006/relationships/hyperlink" Target="https://rsisinternational.org/journals/ijrsi/articles/utilization-of-artificial-intelligence-ai-tools-among-senior-high-school-students-inputs-for-policy-recommendations/" TargetMode="External"/><Relationship Id="rId35" Type="http://schemas.openxmlformats.org/officeDocument/2006/relationships/hyperlink" Target="https://doi.org/10.1186/s41239-023-00411-8" TargetMode="External"/><Relationship Id="rId34" Type="http://schemas.openxmlformats.org/officeDocument/2006/relationships/hyperlink" Target="https://doi.org/10.33225/pec/24.82.630" TargetMode="External"/><Relationship Id="rId37" Type="http://schemas.openxmlformats.org/officeDocument/2006/relationships/hyperlink" Target="https://ijte.net/index.php/ijte/article/view/5335" TargetMode="External"/><Relationship Id="rId36" Type="http://schemas.openxmlformats.org/officeDocument/2006/relationships/hyperlink" Target="https://doi.org/10.1186/s41239-023-00411-8" TargetMode="External"/><Relationship Id="rId39" Type="http://schemas.openxmlformats.org/officeDocument/2006/relationships/hyperlink" Target="https://www.deped.gov.ph/wp-content/uploads/DO_s2026_003r-1.pdf" TargetMode="External"/><Relationship Id="rId38" Type="http://schemas.openxmlformats.org/officeDocument/2006/relationships/hyperlink" Target="https://ijte.net/index.php/ijte/article/view/5335" TargetMode="External"/><Relationship Id="rId20" Type="http://schemas.openxmlformats.org/officeDocument/2006/relationships/hyperlink" Target="https://doi.org/10.1016/j.caeo.2024.100173" TargetMode="External"/><Relationship Id="rId22" Type="http://schemas.openxmlformats.org/officeDocument/2006/relationships/hyperlink" Target="https://doi.org/10.3390/su162210037" TargetMode="External"/><Relationship Id="rId21" Type="http://schemas.openxmlformats.org/officeDocument/2006/relationships/hyperlink" Target="https://doi.org/10.3390/su162210037" TargetMode="External"/><Relationship Id="rId24" Type="http://schemas.openxmlformats.org/officeDocument/2006/relationships/hyperlink" Target="https://doi.org/10.1371/journal.pdig.0000877" TargetMode="External"/><Relationship Id="rId23" Type="http://schemas.openxmlformats.org/officeDocument/2006/relationships/hyperlink" Target="https://doi.org/10.1371/journal.pdig.0000877" TargetMode="External"/><Relationship Id="rId26" Type="http://schemas.openxmlformats.org/officeDocument/2006/relationships/hyperlink" Target="https://doi.org/10.30953/bhty.v7.334" TargetMode="External"/><Relationship Id="rId25" Type="http://schemas.openxmlformats.org/officeDocument/2006/relationships/hyperlink" Target="https://doi.org/10.30953/bhty.v7.334" TargetMode="External"/><Relationship Id="rId28" Type="http://schemas.openxmlformats.org/officeDocument/2006/relationships/hyperlink" Target="https://www.researchgate.net/publication/392315857_Impact_of_the_Utilization_of_Learning_Management_System_in_the_Implementation_of_Distance_Learning_in_Secondary_Schools_in_the_Philippines_from_2019_to_2023" TargetMode="External"/><Relationship Id="rId27" Type="http://schemas.openxmlformats.org/officeDocument/2006/relationships/hyperlink" Target="https://www.researchgate.net/publication/392315857_Impact_of_the_Utilization_of_Learning_Management_System_in_the_Implementation_of_Distance_Learning_in_Secondary_Schools_in_the_Philippines_from_2019_to_2023" TargetMode="External"/><Relationship Id="rId29" Type="http://schemas.openxmlformats.org/officeDocument/2006/relationships/hyperlink" Target="https://doi.org/10.5861/ijrse.2024.24603" TargetMode="External"/><Relationship Id="rId95" Type="http://schemas.openxmlformats.org/officeDocument/2006/relationships/hyperlink" Target="https://doi.org/10.1080/2331186X.2025.2529420" TargetMode="External"/><Relationship Id="rId94" Type="http://schemas.openxmlformats.org/officeDocument/2006/relationships/hyperlink" Target="https://doi.org/10.6084/m9.figshare.17088569.v3" TargetMode="External"/><Relationship Id="rId97" Type="http://schemas.openxmlformats.org/officeDocument/2006/relationships/hyperlink" Target="https://journals.aloysianpublications.com/index.php/articles/article/view/431" TargetMode="External"/><Relationship Id="rId96" Type="http://schemas.openxmlformats.org/officeDocument/2006/relationships/hyperlink" Target="https://doi.org/10.1080/2331186X.2025.2529420" TargetMode="External"/><Relationship Id="rId11" Type="http://schemas.openxmlformats.org/officeDocument/2006/relationships/hyperlink" Target="https://doi.org/10.1007/978-981-99-7587-7_1" TargetMode="External"/><Relationship Id="rId99" Type="http://schemas.openxmlformats.org/officeDocument/2006/relationships/hyperlink" Target="https://doi.org/10.1109/ICIC68054.2025.11309368" TargetMode="External"/><Relationship Id="rId10" Type="http://schemas.openxmlformats.org/officeDocument/2006/relationships/hyperlink" Target="https://doi.org/10.1007/s10639-026-14005-0" TargetMode="External"/><Relationship Id="rId98" Type="http://schemas.openxmlformats.org/officeDocument/2006/relationships/hyperlink" Target="https://journals.aloysianpublications.com/index.php/articles/article/view/431" TargetMode="External"/><Relationship Id="rId13" Type="http://schemas.openxmlformats.org/officeDocument/2006/relationships/hyperlink" Target="https://educationalperspectives.org.ng/upload_file/Adekunle%20et%20al%202024.pdf" TargetMode="External"/><Relationship Id="rId12" Type="http://schemas.openxmlformats.org/officeDocument/2006/relationships/hyperlink" Target="https://doi.org/10.1007/978-981-99-7587-7_1" TargetMode="External"/><Relationship Id="rId91" Type="http://schemas.openxmlformats.org/officeDocument/2006/relationships/hyperlink" Target="https://doi.org/10.3390/info14080446" TargetMode="External"/><Relationship Id="rId90" Type="http://schemas.openxmlformats.org/officeDocument/2006/relationships/hyperlink" Target="https://doi.org/10.29100/jipi.v9i4.6910" TargetMode="External"/><Relationship Id="rId93" Type="http://schemas.openxmlformats.org/officeDocument/2006/relationships/hyperlink" Target="https://doi.org/10.6084/m9.figshare.17088569.v3" TargetMode="External"/><Relationship Id="rId92" Type="http://schemas.openxmlformats.org/officeDocument/2006/relationships/hyperlink" Target="https://doi.org/10.3390/info14080446" TargetMode="External"/><Relationship Id="rId15" Type="http://schemas.openxmlformats.org/officeDocument/2006/relationships/hyperlink" Target="https://doi.org/10.7717/peerj-cs.498" TargetMode="External"/><Relationship Id="rId14" Type="http://schemas.openxmlformats.org/officeDocument/2006/relationships/hyperlink" Target="https://educationalperspectives.org.ng/upload_file/Adekunle%20et%20al%202024.pdf" TargetMode="External"/><Relationship Id="rId17" Type="http://schemas.openxmlformats.org/officeDocument/2006/relationships/hyperlink" Target="https://doi.org/10.53894/ijirss.v8i7.10481" TargetMode="External"/><Relationship Id="rId16" Type="http://schemas.openxmlformats.org/officeDocument/2006/relationships/hyperlink" Target="https://doi.org/10.7717/peerj-cs.498" TargetMode="External"/><Relationship Id="rId19" Type="http://schemas.openxmlformats.org/officeDocument/2006/relationships/hyperlink" Target="https://doi.org/10.1016/j.caeo.2024.100173" TargetMode="External"/><Relationship Id="rId18" Type="http://schemas.openxmlformats.org/officeDocument/2006/relationships/hyperlink" Target="https://doi.org/10.53894/ijirss.v8i7.10481" TargetMode="External"/><Relationship Id="rId84" Type="http://schemas.openxmlformats.org/officeDocument/2006/relationships/hyperlink" Target="https://doi.org/10.3846/ntcs.2024.21227" TargetMode="External"/><Relationship Id="rId83" Type="http://schemas.openxmlformats.org/officeDocument/2006/relationships/hyperlink" Target="https://doi.org/10.3846/ntcs.2024.21227" TargetMode="External"/><Relationship Id="rId86" Type="http://schemas.openxmlformats.org/officeDocument/2006/relationships/hyperlink" Target="https://doi.org/10.3389/feduc.2024.1457188" TargetMode="External"/><Relationship Id="rId85" Type="http://schemas.openxmlformats.org/officeDocument/2006/relationships/hyperlink" Target="https://doi.org/10.3389/feduc.2024.1457188" TargetMode="External"/><Relationship Id="rId88" Type="http://schemas.openxmlformats.org/officeDocument/2006/relationships/hyperlink" Target="https://arxiv.org/pdf/2604.10160" TargetMode="External"/><Relationship Id="rId87" Type="http://schemas.openxmlformats.org/officeDocument/2006/relationships/hyperlink" Target="https://arxiv.org/pdf/2604.10160" TargetMode="External"/><Relationship Id="rId89" Type="http://schemas.openxmlformats.org/officeDocument/2006/relationships/hyperlink" Target="https://doi.org/10.29100/jipi.v9i4.6910" TargetMode="External"/><Relationship Id="rId80" Type="http://schemas.openxmlformats.org/officeDocument/2006/relationships/hyperlink" Target="https://doi.org/10.1051/itmconf/20235606002" TargetMode="External"/><Relationship Id="rId82" Type="http://schemas.openxmlformats.org/officeDocument/2006/relationships/hyperlink" Target="https://escholarship.org/uc/item/3pv3t1rg" TargetMode="External"/><Relationship Id="rId81" Type="http://schemas.openxmlformats.org/officeDocument/2006/relationships/hyperlink" Target="https://escholarship.org/uc/item/3pv3t1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10639-026-14005-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x.doi.org/10.47772/IJRISS.2025.9020263" TargetMode="External"/><Relationship Id="rId8" Type="http://schemas.openxmlformats.org/officeDocument/2006/relationships/hyperlink" Target="https://dx.doi.org/10.47772/IJRISS.2025.9020263" TargetMode="External"/><Relationship Id="rId73" Type="http://schemas.openxmlformats.org/officeDocument/2006/relationships/hyperlink" Target="https://www.deped.gov.ph/wp-content/uploads/2022/05/DO_s2022_024.pdf" TargetMode="External"/><Relationship Id="rId72" Type="http://schemas.openxmlformats.org/officeDocument/2006/relationships/hyperlink" Target="https://doi.org/10.5281/zenodo.20178701" TargetMode="External"/><Relationship Id="rId75" Type="http://schemas.openxmlformats.org/officeDocument/2006/relationships/hyperlink" Target="https://iiari.org/online_book/teaching-and-learning-beyond-the-classroom/flexible-learning-modalities-in-the-philippines-covid-19-and-beyond/" TargetMode="External"/><Relationship Id="rId74" Type="http://schemas.openxmlformats.org/officeDocument/2006/relationships/hyperlink" Target="https://www.deped.gov.ph/wp-content/uploads/2022/05/DO_s2022_024.pdf" TargetMode="External"/><Relationship Id="rId77" Type="http://schemas.openxmlformats.org/officeDocument/2006/relationships/hyperlink" Target="https://doi.org/10.64233/BUGI8353" TargetMode="External"/><Relationship Id="rId76" Type="http://schemas.openxmlformats.org/officeDocument/2006/relationships/hyperlink" Target="https://iiari.org/online_book/teaching-and-learning-beyond-the-classroom/flexible-learning-modalities-in-the-philippines-covid-19-and-beyond/" TargetMode="External"/><Relationship Id="rId79" Type="http://schemas.openxmlformats.org/officeDocument/2006/relationships/hyperlink" Target="https://doi.org/10.1051/itmconf/20235606002" TargetMode="External"/><Relationship Id="rId78" Type="http://schemas.openxmlformats.org/officeDocument/2006/relationships/hyperlink" Target="https://doi.org/10.64233/BUGI8353" TargetMode="External"/><Relationship Id="rId71" Type="http://schemas.openxmlformats.org/officeDocument/2006/relationships/hyperlink" Target="https://doi.org/10.5281/zenodo.20178701" TargetMode="External"/><Relationship Id="rId70" Type="http://schemas.openxmlformats.org/officeDocument/2006/relationships/hyperlink" Target="https://doi.org/10.2139/ssrn.4105763" TargetMode="External"/><Relationship Id="rId62" Type="http://schemas.openxmlformats.org/officeDocument/2006/relationships/hyperlink" Target="https://doi.org/10.3390/educsci15091114" TargetMode="External"/><Relationship Id="rId61" Type="http://schemas.openxmlformats.org/officeDocument/2006/relationships/hyperlink" Target="https://doi.org/10.3390/educsci15091114" TargetMode="External"/><Relationship Id="rId64" Type="http://schemas.openxmlformats.org/officeDocument/2006/relationships/hyperlink" Target="https://doi.org/10.69569/jip.2025.163" TargetMode="External"/><Relationship Id="rId63" Type="http://schemas.openxmlformats.org/officeDocument/2006/relationships/hyperlink" Target="https://doi.org/10.69569/jip.2025.163" TargetMode="External"/><Relationship Id="rId66" Type="http://schemas.openxmlformats.org/officeDocument/2006/relationships/hyperlink" Target="https://doi.org/10.1108/JM2-09-2025-0478" TargetMode="External"/><Relationship Id="rId65" Type="http://schemas.openxmlformats.org/officeDocument/2006/relationships/hyperlink" Target="https://doi.org/10.1108/JM2-09-2025-0478" TargetMode="External"/><Relationship Id="rId68" Type="http://schemas.openxmlformats.org/officeDocument/2006/relationships/hyperlink" Target="https://doi.org/10.54922/IJEHSS.2025.1143" TargetMode="External"/><Relationship Id="rId67" Type="http://schemas.openxmlformats.org/officeDocument/2006/relationships/hyperlink" Target="https://doi.org/10.54922/IJEHSS.2025.1143" TargetMode="External"/><Relationship Id="rId60" Type="http://schemas.openxmlformats.org/officeDocument/2006/relationships/hyperlink" Target="https://doi.org/10.1016/j.caeai.2025.100417" TargetMode="External"/><Relationship Id="rId69" Type="http://schemas.openxmlformats.org/officeDocument/2006/relationships/hyperlink" Target="https://doi.org/10.2139/ssrn.4105763" TargetMode="External"/><Relationship Id="rId51" Type="http://schemas.openxmlformats.org/officeDocument/2006/relationships/hyperlink" Target="https://doi.org/10.18261/njdl.20.3.3" TargetMode="External"/><Relationship Id="rId50" Type="http://schemas.openxmlformats.org/officeDocument/2006/relationships/hyperlink" Target="https://doi.org/10.5220/0009151303590366" TargetMode="External"/><Relationship Id="rId53" Type="http://schemas.openxmlformats.org/officeDocument/2006/relationships/hyperlink" Target="https://rsisinternational.org/journals/ijrsi/articles/perceived-learning-management-system-effectiveness-teachers-self-efficacy-and-work-engagement-groundwork-for-an-upskilling-plan/" TargetMode="External"/><Relationship Id="rId52" Type="http://schemas.openxmlformats.org/officeDocument/2006/relationships/hyperlink" Target="https://doi.org/10.18261/njdl.20.3.3" TargetMode="External"/><Relationship Id="rId55" Type="http://schemas.openxmlformats.org/officeDocument/2006/relationships/hyperlink" Target="https://jurnal.polibatam.ac.id/index.php/JAIC/article/view/9210" TargetMode="External"/><Relationship Id="rId54" Type="http://schemas.openxmlformats.org/officeDocument/2006/relationships/hyperlink" Target="https://rsisinternational.org/journals/ijrsi/articles/perceived-learning-management-system-effectiveness-teachers-self-efficacy-and-work-engagement-groundwork-for-an-upskilling-plan/" TargetMode="External"/><Relationship Id="rId57" Type="http://schemas.openxmlformats.org/officeDocument/2006/relationships/hyperlink" Target="https://doi.org/10.56158/jpte.2025.120.4.01" TargetMode="External"/><Relationship Id="rId56" Type="http://schemas.openxmlformats.org/officeDocument/2006/relationships/hyperlink" Target="https://jurnal.polibatam.ac.id/index.php/JAIC/article/view/9210" TargetMode="External"/><Relationship Id="rId59" Type="http://schemas.openxmlformats.org/officeDocument/2006/relationships/hyperlink" Target="https://doi.org/10.1016/j.caeai.2025.100417" TargetMode="External"/><Relationship Id="rId58" Type="http://schemas.openxmlformats.org/officeDocument/2006/relationships/hyperlink" Target="https://doi.org/10.56158/jpte.2025.120.4.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