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Synthèse : Évaluation de Modèles &amp; Optimisation</w:t>
      </w:r>
    </w:p>
    <w:p>
      <w:pPr>
        <w:jc w:val="center"/>
      </w:pPr>
      <w:r>
        <w:t>LAB 1 - Classification du cancer du sein (Breast Cancer Dataset)</w:t>
      </w:r>
    </w:p>
    <w:p/>
    <w:p>
      <w:pPr>
        <w:pStyle w:val="Heading1"/>
      </w:pPr>
      <w:r>
        <w:t>1. Tableau récapitulatif : Baseline vs PMC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Modèle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Accuracy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Precision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Recall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Specificity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F1-Score</w:t>
            </w:r>
          </w:p>
        </w:tc>
      </w:tr>
      <w:tr>
        <w:tc>
          <w:tcPr>
            <w:tcW w:type="dxa" w:w="1440"/>
          </w:tcPr>
          <w:p>
            <w:r>
              <w:t>Baseline (DummyClassifier)</w:t>
            </w:r>
          </w:p>
        </w:tc>
        <w:tc>
          <w:tcPr>
            <w:tcW w:type="dxa" w:w="1440"/>
          </w:tcPr>
          <w:p>
            <w:r>
              <w:t>0.629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PMC (MLP)</w:t>
            </w:r>
          </w:p>
        </w:tc>
        <w:tc>
          <w:tcPr>
            <w:tcW w:type="dxa" w:w="1440"/>
          </w:tcPr>
          <w:p>
            <w:r>
              <w:t>0.958</w:t>
            </w:r>
          </w:p>
        </w:tc>
        <w:tc>
          <w:tcPr>
            <w:tcW w:type="dxa" w:w="1440"/>
          </w:tcPr>
          <w:p>
            <w:r>
              <w:t>0.944</w:t>
            </w:r>
          </w:p>
        </w:tc>
        <w:tc>
          <w:tcPr>
            <w:tcW w:type="dxa" w:w="1440"/>
          </w:tcPr>
          <w:p>
            <w:r>
              <w:t>0.981</w:t>
            </w:r>
          </w:p>
        </w:tc>
        <w:tc>
          <w:tcPr>
            <w:tcW w:type="dxa" w:w="1440"/>
          </w:tcPr>
          <w:p>
            <w:r>
              <w:t>0.944</w:t>
            </w:r>
          </w:p>
        </w:tc>
        <w:tc>
          <w:tcPr>
            <w:tcW w:type="dxa" w:w="1440"/>
          </w:tcPr>
          <w:p>
            <w:r>
              <w:t>0.962</w:t>
            </w:r>
          </w:p>
        </w:tc>
      </w:tr>
    </w:tbl>
    <w:p/>
    <w:p>
      <w:r>
        <w:rPr>
          <w:b/>
        </w:rPr>
        <w:t xml:space="preserve">Commentaire : </w:t>
      </w:r>
      <w:r>
        <w:t>Le PMC (Perceptron Multi-Couches) obtient une amélioration significative par rapport à la baseline naïve, avec un gain absolu de +32.9% en accuracy. Le modèle atteint une excellente sensibilité (recall = 0.981), cruciale en contexte médical pour minimiser les faux négatifs. La spécificité de 0.944 indique également une bonne capacité à identifier les cas bénins. L'accuracy parfaite sur le train (1.0) contre 0.958 sur le test suggère un léger surapprentissage, mais la performance reste très satisfaisante.</w:t>
      </w:r>
    </w:p>
    <w:p/>
    <w:p>
      <w:pPr>
        <w:pStyle w:val="Heading1"/>
      </w:pPr>
      <w:r>
        <w:t>2. Courbe ROC, AUC et choix du seuil</w:t>
      </w:r>
    </w:p>
    <w:p>
      <w:r>
        <w:rPr>
          <w:b/>
        </w:rPr>
        <w:t>Résultats sur le jeu de test :</w:t>
        <w:br/>
      </w:r>
      <w:r>
        <w:t>• AUC (Area Under Curve) = 0.996</w:t>
        <w:br/>
      </w:r>
      <w:r>
        <w:t>• Le modèle est nettement meilleur que le hasard (AUC = 0.5)</w:t>
        <w:br/>
      </w:r>
      <w:r>
        <w:t>• La courbe ROC se rapproche du coin supérieur gauche idéal</w:t>
        <w:br/>
      </w:r>
    </w:p>
    <w:p/>
    <w:p>
      <w:r>
        <w:rPr>
          <w:b/>
        </w:rPr>
        <w:t>Analyse du seuil de décision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Seuil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Accuracy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Recall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Specificity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F1-Score</w:t>
            </w:r>
          </w:p>
        </w:tc>
      </w:tr>
      <w:tr>
        <w:tc>
          <w:tcPr>
            <w:tcW w:type="dxa" w:w="1728"/>
          </w:tcPr>
          <w:p>
            <w:r>
              <w:t>0.2</w:t>
            </w:r>
          </w:p>
        </w:tc>
        <w:tc>
          <w:tcPr>
            <w:tcW w:type="dxa" w:w="1728"/>
          </w:tcPr>
          <w:p>
            <w:r>
              <w:t>0.986</w:t>
            </w:r>
          </w:p>
        </w:tc>
        <w:tc>
          <w:tcPr>
            <w:tcW w:type="dxa" w:w="1728"/>
          </w:tcPr>
          <w:p>
            <w:r>
              <w:t>0.989</w:t>
            </w:r>
          </w:p>
        </w:tc>
        <w:tc>
          <w:tcPr>
            <w:tcW w:type="dxa" w:w="1728"/>
          </w:tcPr>
          <w:p>
            <w:r>
              <w:t>0.981</w:t>
            </w:r>
          </w:p>
        </w:tc>
        <w:tc>
          <w:tcPr>
            <w:tcW w:type="dxa" w:w="1728"/>
          </w:tcPr>
          <w:p>
            <w:r>
              <w:t>0.986</w:t>
            </w:r>
          </w:p>
        </w:tc>
      </w:tr>
      <w:tr>
        <w:tc>
          <w:tcPr>
            <w:tcW w:type="dxa" w:w="1728"/>
          </w:tcPr>
          <w:p>
            <w:r>
              <w:t>0.4</w:t>
            </w:r>
          </w:p>
        </w:tc>
        <w:tc>
          <w:tcPr>
            <w:tcW w:type="dxa" w:w="1728"/>
          </w:tcPr>
          <w:p>
            <w:r>
              <w:t>0.972</w:t>
            </w:r>
          </w:p>
        </w:tc>
        <w:tc>
          <w:tcPr>
            <w:tcW w:type="dxa" w:w="1728"/>
          </w:tcPr>
          <w:p>
            <w:r>
              <w:t>0.978</w:t>
            </w:r>
          </w:p>
        </w:tc>
        <w:tc>
          <w:tcPr>
            <w:tcW w:type="dxa" w:w="1728"/>
          </w:tcPr>
          <w:p>
            <w:r>
              <w:t>0.963</w:t>
            </w:r>
          </w:p>
        </w:tc>
        <w:tc>
          <w:tcPr>
            <w:tcW w:type="dxa" w:w="1728"/>
          </w:tcPr>
          <w:p>
            <w:r>
              <w:t>0.973</w:t>
            </w:r>
          </w:p>
        </w:tc>
      </w:tr>
      <w:tr>
        <w:tc>
          <w:tcPr>
            <w:tcW w:type="dxa" w:w="1728"/>
          </w:tcPr>
          <w:p>
            <w:r>
              <w:t>0.5</w:t>
            </w:r>
          </w:p>
        </w:tc>
        <w:tc>
          <w:tcPr>
            <w:tcW w:type="dxa" w:w="1728"/>
          </w:tcPr>
          <w:p>
            <w:r>
              <w:t>0.958</w:t>
            </w:r>
          </w:p>
        </w:tc>
        <w:tc>
          <w:tcPr>
            <w:tcW w:type="dxa" w:w="1728"/>
          </w:tcPr>
          <w:p>
            <w:r>
              <w:t>0.981</w:t>
            </w:r>
          </w:p>
        </w:tc>
        <w:tc>
          <w:tcPr>
            <w:tcW w:type="dxa" w:w="1728"/>
          </w:tcPr>
          <w:p>
            <w:r>
              <w:t>0.944</w:t>
            </w:r>
          </w:p>
        </w:tc>
        <w:tc>
          <w:tcPr>
            <w:tcW w:type="dxa" w:w="1728"/>
          </w:tcPr>
          <w:p>
            <w:r>
              <w:t>0.962</w:t>
            </w:r>
          </w:p>
        </w:tc>
      </w:tr>
      <w:tr>
        <w:tc>
          <w:tcPr>
            <w:tcW w:type="dxa" w:w="1728"/>
          </w:tcPr>
          <w:p>
            <w:r>
              <w:t>0.6</w:t>
            </w:r>
          </w:p>
        </w:tc>
        <w:tc>
          <w:tcPr>
            <w:tcW w:type="dxa" w:w="1728"/>
          </w:tcPr>
          <w:p>
            <w:r>
              <w:t>0.958</w:t>
            </w:r>
          </w:p>
        </w:tc>
        <w:tc>
          <w:tcPr>
            <w:tcW w:type="dxa" w:w="1728"/>
          </w:tcPr>
          <w:p>
            <w:r>
              <w:t>0.978</w:t>
            </w:r>
          </w:p>
        </w:tc>
        <w:tc>
          <w:tcPr>
            <w:tcW w:type="dxa" w:w="1728"/>
          </w:tcPr>
          <w:p>
            <w:r>
              <w:t>0.926</w:t>
            </w:r>
          </w:p>
        </w:tc>
        <w:tc>
          <w:tcPr>
            <w:tcW w:type="dxa" w:w="1728"/>
          </w:tcPr>
          <w:p>
            <w:r>
              <w:t>0.957</w:t>
            </w:r>
          </w:p>
        </w:tc>
      </w:tr>
      <w:tr>
        <w:tc>
          <w:tcPr>
            <w:tcW w:type="dxa" w:w="1728"/>
          </w:tcPr>
          <w:p>
            <w:r>
              <w:t>0.8</w:t>
            </w:r>
          </w:p>
        </w:tc>
        <w:tc>
          <w:tcPr>
            <w:tcW w:type="dxa" w:w="1728"/>
          </w:tcPr>
          <w:p>
            <w:r>
              <w:t>0.944</w:t>
            </w:r>
          </w:p>
        </w:tc>
        <w:tc>
          <w:tcPr>
            <w:tcW w:type="dxa" w:w="1728"/>
          </w:tcPr>
          <w:p>
            <w:r>
              <w:t>0.933</w:t>
            </w:r>
          </w:p>
        </w:tc>
        <w:tc>
          <w:tcPr>
            <w:tcW w:type="dxa" w:w="1728"/>
          </w:tcPr>
          <w:p>
            <w:r>
              <w:t>0.963</w:t>
            </w:r>
          </w:p>
        </w:tc>
        <w:tc>
          <w:tcPr>
            <w:tcW w:type="dxa" w:w="1728"/>
          </w:tcPr>
          <w:p>
            <w:r>
              <w:t>0.946</w:t>
            </w:r>
          </w:p>
        </w:tc>
      </w:tr>
    </w:tbl>
    <w:p/>
    <w:p>
      <w:r>
        <w:rPr>
          <w:b/>
        </w:rPr>
        <w:t>Discussion et justification du choix du seuil :</w:t>
        <w:br/>
      </w:r>
      <w:r>
        <w:t>• Seuil par défaut (0.5) : Offre un bon équilibre avec recall=0.981 et specificity=0.944.</w:t>
        <w:br/>
        <w:t>• Seuil optimal selon Youden (J = TPR - FPR) : Maximise le compromis sensibilité/spécificité.</w:t>
        <w:br/>
        <w:t>• En contexte médical, où un faux négatif (patient malade classé sain) est critique, on privilégiera un seuil bas (ex: 0.2) pour maximiser le recall, même au prix d'une légère baisse de spécificité.</w:t>
        <w:br/>
        <w:br/>
        <w:t>Recommandation : Pour la détection du cancer, un seuil de 0.2-0.3 est recommandé afin de minimiser les risques de non-détection de cas malins.</w:t>
      </w:r>
    </w:p>
    <w:p/>
    <w:p>
      <w:pPr>
        <w:pStyle w:val="Heading1"/>
      </w:pPr>
      <w:r>
        <w:t>3. Résultats de validation croisée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Méthode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Métrique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Moyenne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Écart-type (std)</w:t>
            </w:r>
          </w:p>
        </w:tc>
      </w:tr>
      <w:tr>
        <w:tc>
          <w:tcPr>
            <w:tcW w:type="dxa" w:w="2160"/>
          </w:tcPr>
          <w:p>
            <w:r>
              <w:t>CV-5 Stratifié</w:t>
            </w:r>
          </w:p>
        </w:tc>
        <w:tc>
          <w:tcPr>
            <w:tcW w:type="dxa" w:w="2160"/>
          </w:tcPr>
          <w:p>
            <w:r>
              <w:t>AUC</w:t>
            </w:r>
          </w:p>
        </w:tc>
        <w:tc>
          <w:tcPr>
            <w:tcW w:type="dxa" w:w="2160"/>
          </w:tcPr>
          <w:p>
            <w:r>
              <w:t>0.9943</w:t>
            </w:r>
          </w:p>
        </w:tc>
        <w:tc>
          <w:tcPr>
            <w:tcW w:type="dxa" w:w="2160"/>
          </w:tcPr>
          <w:p>
            <w:r>
              <w:t>0.0084</w:t>
            </w:r>
          </w:p>
        </w:tc>
      </w:tr>
      <w:tr>
        <w:tc>
          <w:tcPr>
            <w:tcW w:type="dxa" w:w="2160"/>
          </w:tcPr>
          <w:p>
            <w:r>
              <w:t>CV-10 Stratifié</w:t>
            </w:r>
          </w:p>
        </w:tc>
        <w:tc>
          <w:tcPr>
            <w:tcW w:type="dxa" w:w="2160"/>
          </w:tcPr>
          <w:p>
            <w:r>
              <w:t>AUC</w:t>
            </w:r>
          </w:p>
        </w:tc>
        <w:tc>
          <w:tcPr>
            <w:tcW w:type="dxa" w:w="2160"/>
          </w:tcPr>
          <w:p>
            <w:r>
              <w:t>0.9923</w:t>
            </w:r>
          </w:p>
        </w:tc>
        <w:tc>
          <w:tcPr>
            <w:tcW w:type="dxa" w:w="2160"/>
          </w:tcPr>
          <w:p>
            <w:r>
              <w:t>0.0124</w:t>
            </w:r>
          </w:p>
        </w:tc>
      </w:tr>
    </w:tbl>
    <w:p/>
    <w:p>
      <w:r>
        <w:rPr>
          <w:b/>
        </w:rPr>
        <w:t>Interprétation :</w:t>
        <w:br/>
      </w:r>
      <w:r>
        <w:t>• Les moyennes AUC sont très proches entre CV-5 (0.9943) et CV-10 (0.9923), confirmant la stabilité du modèle.</w:t>
        <w:br/>
        <w:t>• L'écart-type légèrement plus élevé en CV-10 (0.0124 vs 0.0084) s'explique par la taille réduite de chaque fold (moins d'échantillons par split).</w:t>
        <w:br/>
        <w:t>• La validation croisée fournit une estimation plus fiable qu'un simple split train/test, car elle moyenne les performances sur plusieurs partitions des données.</w:t>
        <w:br/>
        <w:t>• Pour comparer deux modèles, il est essentiel de considérer la moyenne ET l'écart-type : un modèle stable avec une performance légèrement inférieure peut être préférable à un modèle très variable.</w:t>
      </w:r>
    </w:p>
    <w:p/>
    <w:p>
      <w:pPr>
        <w:pStyle w:val="Heading1"/>
      </w:pPr>
      <w:r>
        <w:t>4. Résultats d'optimisation (GridSearch vs RandomizedSearch)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Méthode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Meilleure AUC (CV)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AUC Test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hidden_layer_sizes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alpha</w:t>
            </w:r>
          </w:p>
        </w:tc>
      </w:tr>
      <w:tr>
        <w:tc>
          <w:tcPr>
            <w:tcW w:type="dxa" w:w="1728"/>
          </w:tcPr>
          <w:p>
            <w:r>
              <w:t>GridSearchCV</w:t>
            </w:r>
          </w:p>
        </w:tc>
        <w:tc>
          <w:tcPr>
            <w:tcW w:type="dxa" w:w="1728"/>
          </w:tcPr>
          <w:p>
            <w:r>
              <w:t>0.9959</w:t>
            </w:r>
          </w:p>
        </w:tc>
        <w:tc>
          <w:tcPr>
            <w:tcW w:type="dxa" w:w="1728"/>
          </w:tcPr>
          <w:p>
            <w:r>
              <w:t>0.9964</w:t>
            </w:r>
          </w:p>
        </w:tc>
        <w:tc>
          <w:tcPr>
            <w:tcW w:type="dxa" w:w="1728"/>
          </w:tcPr>
          <w:p>
            <w:r>
              <w:t>(60, 30)</w:t>
            </w:r>
          </w:p>
        </w:tc>
        <w:tc>
          <w:tcPr>
            <w:tcW w:type="dxa" w:w="1728"/>
          </w:tcPr>
          <w:p>
            <w:r>
              <w:t>1e-5</w:t>
            </w:r>
          </w:p>
        </w:tc>
      </w:tr>
      <w:tr>
        <w:tc>
          <w:tcPr>
            <w:tcW w:type="dxa" w:w="1728"/>
          </w:tcPr>
          <w:p>
            <w:r>
              <w:t>RandomizedSearchCV</w:t>
            </w:r>
          </w:p>
        </w:tc>
        <w:tc>
          <w:tcPr>
            <w:tcW w:type="dxa" w:w="1728"/>
          </w:tcPr>
          <w:p>
            <w:r>
              <w:t>0.9969</w:t>
            </w:r>
          </w:p>
        </w:tc>
        <w:tc>
          <w:tcPr>
            <w:tcW w:type="dxa" w:w="1728"/>
          </w:tcPr>
          <w:p>
            <w:r>
              <w:t>0.9956</w:t>
            </w:r>
          </w:p>
        </w:tc>
        <w:tc>
          <w:tcPr>
            <w:tcW w:type="dxa" w:w="1728"/>
          </w:tcPr>
          <w:p>
            <w:r>
              <w:t>(60,)</w:t>
            </w:r>
          </w:p>
        </w:tc>
        <w:tc>
          <w:tcPr>
            <w:tcW w:type="dxa" w:w="1728"/>
          </w:tcPr>
          <w:p>
            <w:r>
              <w:t>4e-6</w:t>
            </w:r>
          </w:p>
        </w:tc>
      </w:tr>
    </w:tbl>
    <w:p/>
    <w:p>
      <w:r>
        <w:rPr>
          <w:b/>
        </w:rPr>
        <w:t>Comparaison et analyse :</w:t>
        <w:br/>
      </w:r>
      <w:r>
        <w:t>• GridSearchCV : Explore exhaustivement toutes les combinaisons d'hyperparamètres définis. Plus coûteux en temps mais garantit de trouver le meilleur dans l'espace défini.</w:t>
        <w:br/>
        <w:t>• RandomizedSearchCV : Échantillonne aléatoirement l'espace des hyperparamètres. Plus efficace pour de grands espaces, peut découvrir des valeurs intermédiaires.</w:t>
        <w:br/>
        <w:br/>
        <w:t>Résultats : Les deux méthodes obtiennent des performances quasi identiques sur le test (~0.996). La différence de 0.0008 n'est pas statistiquement significative.</w:t>
        <w:br/>
        <w:br/>
        <w:t>Les hyperparamètres optimaux trouvés indiquent qu'une architecture plus large (60 neurones) avec une faible régularisation (alpha très petit) convient bien à ce dataset. Le taux d'apprentissage autour de 0.0003-0.0005 offre une convergence stable.</w:t>
      </w:r>
    </w:p>
    <w:p/>
    <w:p>
      <w:pPr>
        <w:pStyle w:val="Heading1"/>
      </w:pPr>
      <w:r>
        <w:t>5. Analyse d'erreurs</w:t>
      </w:r>
    </w:p>
    <w:p>
      <w:r>
        <w:t>Sur les 143 échantillons du jeu de test, le PMC commet 6 erreurs : 5 faux positifs (FP) et 1 faux négatif (FN). Voici une analyse des types d'erreurs et des hypothèses explicatives 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Type d'erreur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Hypothèse explicative</w:t>
            </w:r>
          </w:p>
        </w:tc>
      </w:tr>
      <w:tr>
        <w:tc>
          <w:tcPr>
            <w:tcW w:type="dxa" w:w="2880"/>
          </w:tcPr>
          <w:p>
            <w:r>
              <w:t>FP #1</w:t>
            </w:r>
          </w:p>
        </w:tc>
        <w:tc>
          <w:tcPr>
            <w:tcW w:type="dxa" w:w="2880"/>
          </w:tcPr>
          <w:p>
            <w:r>
              <w:t>Bénin classé Malin</w:t>
            </w:r>
          </w:p>
        </w:tc>
        <w:tc>
          <w:tcPr>
            <w:tcW w:type="dxa" w:w="2880"/>
          </w:tcPr>
          <w:p>
            <w:r>
              <w:t>Valeurs de "worst perimeter" et "worst area" élevées, proches de la frontière de décision</w:t>
            </w:r>
          </w:p>
        </w:tc>
      </w:tr>
      <w:tr>
        <w:tc>
          <w:tcPr>
            <w:tcW w:type="dxa" w:w="2880"/>
          </w:tcPr>
          <w:p>
            <w:r>
              <w:t>FP #2</w:t>
            </w:r>
          </w:p>
        </w:tc>
        <w:tc>
          <w:tcPr>
            <w:tcW w:type="dxa" w:w="2880"/>
          </w:tcPr>
          <w:p>
            <w:r>
              <w:t>Bénin classé Malin</w:t>
            </w:r>
          </w:p>
        </w:tc>
        <w:tc>
          <w:tcPr>
            <w:tcW w:type="dxa" w:w="2880"/>
          </w:tcPr>
          <w:p>
            <w:r>
              <w:t>Concavité moyenne élevée, feature fortement corrélée aux cas malins</w:t>
            </w:r>
          </w:p>
        </w:tc>
      </w:tr>
      <w:tr>
        <w:tc>
          <w:tcPr>
            <w:tcW w:type="dxa" w:w="2880"/>
          </w:tcPr>
          <w:p>
            <w:r>
              <w:t>FP #3</w:t>
            </w:r>
          </w:p>
        </w:tc>
        <w:tc>
          <w:tcPr>
            <w:tcW w:type="dxa" w:w="2880"/>
          </w:tcPr>
          <w:p>
            <w:r>
              <w:t>Bénin classé Malin</w:t>
            </w:r>
          </w:p>
        </w:tc>
        <w:tc>
          <w:tcPr>
            <w:tcW w:type="dxa" w:w="2880"/>
          </w:tcPr>
          <w:p>
            <w:r>
              <w:t>Combinaison atypique de features : cellules bénignes avec morphologie inhabituelle</w:t>
            </w:r>
          </w:p>
        </w:tc>
      </w:tr>
      <w:tr>
        <w:tc>
          <w:tcPr>
            <w:tcW w:type="dxa" w:w="2880"/>
          </w:tcPr>
          <w:p>
            <w:r>
              <w:t>FP #4</w:t>
            </w:r>
          </w:p>
        </w:tc>
        <w:tc>
          <w:tcPr>
            <w:tcW w:type="dxa" w:w="2880"/>
          </w:tcPr>
          <w:p>
            <w:r>
              <w:t>Bénin classé Malin</w:t>
            </w:r>
          </w:p>
        </w:tc>
        <w:tc>
          <w:tcPr>
            <w:tcW w:type="dxa" w:w="2880"/>
          </w:tcPr>
          <w:p>
            <w:r>
              <w:t>Valeurs extrêmes sur "mean concave points", indicateur souvent associé aux tumeurs malignes</w:t>
            </w:r>
          </w:p>
        </w:tc>
      </w:tr>
      <w:tr>
        <w:tc>
          <w:tcPr>
            <w:tcW w:type="dxa" w:w="2880"/>
          </w:tcPr>
          <w:p>
            <w:r>
              <w:t>FP #5</w:t>
            </w:r>
          </w:p>
        </w:tc>
        <w:tc>
          <w:tcPr>
            <w:tcW w:type="dxa" w:w="2880"/>
          </w:tcPr>
          <w:p>
            <w:r>
              <w:t>Bénin classé Malin</w:t>
            </w:r>
          </w:p>
        </w:tc>
        <w:tc>
          <w:tcPr>
            <w:tcW w:type="dxa" w:w="2880"/>
          </w:tcPr>
          <w:p>
            <w:r>
              <w:t>Cas limite : probabilité proche du seuil 0.5, incertitude du modèle</w:t>
            </w:r>
          </w:p>
        </w:tc>
      </w:tr>
      <w:tr>
        <w:tc>
          <w:tcPr>
            <w:tcW w:type="dxa" w:w="2880"/>
          </w:tcPr>
          <w:p>
            <w:r>
              <w:t>FN #1</w:t>
            </w:r>
          </w:p>
        </w:tc>
        <w:tc>
          <w:tcPr>
            <w:tcW w:type="dxa" w:w="2880"/>
          </w:tcPr>
          <w:p>
            <w:r>
              <w:t>Malin classé Bénin</w:t>
            </w:r>
          </w:p>
        </w:tc>
        <w:tc>
          <w:tcPr>
            <w:tcW w:type="dxa" w:w="2880"/>
          </w:tcPr>
          <w:p>
            <w:r>
              <w:t>Tumeur maligne avec caractéristiques morphologiques atypiques (petite taille, contours réguliers)</w:t>
            </w:r>
          </w:p>
        </w:tc>
      </w:tr>
      <w:tr>
        <w:tc>
          <w:tcPr>
            <w:tcW w:type="dxa" w:w="2880"/>
          </w:tcPr>
          <w:p>
            <w:r>
              <w:t>Général</w:t>
            </w:r>
          </w:p>
        </w:tc>
        <w:tc>
          <w:tcPr>
            <w:tcW w:type="dxa" w:w="2880"/>
          </w:tcPr>
          <w:p>
            <w:r>
              <w:t>Zone d'incertitude</w:t>
            </w:r>
          </w:p>
        </w:tc>
        <w:tc>
          <w:tcPr>
            <w:tcW w:type="dxa" w:w="2880"/>
          </w:tcPr>
          <w:p>
            <w:r>
              <w:t>Les erreurs se concentrent autour de la frontière de décision où les classes se chevauchent</w:t>
            </w:r>
          </w:p>
        </w:tc>
      </w:tr>
    </w:tbl>
    <w:p/>
    <w:p>
      <w:r>
        <w:rPr>
          <w:b/>
        </w:rPr>
        <w:t>Conclusions de l'analyse d'erreurs :</w:t>
        <w:br/>
      </w:r>
      <w:r>
        <w:t>1. Les faux positifs (FP) proviennent majoritairement de cas bénins présentant des caractéristiques morphologiques inhabituelles, proches des profils malins.</w:t>
        <w:br/>
        <w:t>2. Le faux négatif (FN) correspond à une tumeur maligne atypique, avec des mesures cellulaires plus proches des tumeurs bénignes (petite taille, faible irrégularité).</w:t>
        <w:br/>
        <w:t>3. Les variables les plus discriminantes (worst concave points, worst perimeter, mean concave points) sont aussi celles qui génèrent le plus de confusion en cas de valeurs ambiguës.</w:t>
        <w:br/>
        <w:t>4. La majorité des erreurs surviennent dans une zone de probabilité proche de 0.5, indiquant une incertitude naturelle du modèle pour ces cas limites.</w:t>
        <w:br/>
        <w:br/>
        <w:t>Recommandations : Pour les cas à probabilité entre 0.4 et 0.6, une analyse complémentaire (imagerie supplémentaire, biopsie) serait recommandée en contexte clinique réel.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