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egoe UI" w:hAnsi="Segoe UI"/>
          <w:b/>
          <w:color w:val="0F172A"/>
          <w:sz w:val="44"/>
        </w:rPr>
        <w:t>Invisible Habits, Visible Energy</w:t>
        <w:br/>
      </w:r>
      <w:r>
        <w:rPr>
          <w:rFonts w:ascii="Segoe UI" w:hAnsi="Segoe UI"/>
          <w:b/>
          <w:color w:val="0D9488"/>
          <w:sz w:val="24"/>
        </w:rPr>
        <w:t>Comprehensive Case Study Technical Report &amp; Algorithmic Dashboard Architecture</w:t>
        <w:br/>
      </w:r>
      <w:r>
        <w:rPr>
          <w:rFonts w:ascii="Segoe UI" w:hAnsi="Segoe UI"/>
          <w:i/>
          <w:color w:val="64748B"/>
          <w:sz w:val="19"/>
        </w:rPr>
        <w:t>Visualizing how meals, movement, caffeine, and sleep shape student energy and mood</w:t>
      </w:r>
    </w:p>
    <w:tbl>
      <w:tblPr>
        <w:tblW w:type="auto" w:w="0"/>
        <w:jc w:val="center"/>
        <w:tblLayout w:type="fixed"/>
        <w:tblLook w:firstColumn="1" w:firstRow="1" w:lastColumn="0" w:lastRow="0" w:noHBand="0" w:noVBand="1" w:val="04A0"/>
      </w:tblPr>
      <w:tblGrid>
        <w:gridCol w:w="5040"/>
        <w:gridCol w:w="5040"/>
      </w:tblGrid>
      <w:tr>
        <w:tc>
          <w:tcPr>
            <w:tcW w:type="dxa" w:w="5040"/>
          </w:tcPr>
          <w:p>
            <w:r>
              <w:rPr>
                <w:b/>
              </w:rPr>
              <w:t xml:space="preserve">Author: </w:t>
            </w:r>
            <w:r>
              <w:t>KAJAN BIRLA.J</w:t>
              <w:br/>
            </w:r>
            <w:r>
              <w:rPr>
                <w:b/>
              </w:rPr>
              <w:t xml:space="preserve">Register No: </w:t>
            </w:r>
            <w:r>
              <w:t>24MID0065</w:t>
              <w:br/>
            </w:r>
            <w:r>
              <w:rPr>
                <w:b/>
              </w:rPr>
              <w:t xml:space="preserve">Submission: </w:t>
            </w:r>
            <w:r>
              <w:t>Case Study Technical Answer Report</w:t>
            </w:r>
          </w:p>
        </w:tc>
        <w:tc>
          <w:tcPr>
            <w:tcW w:type="dxa" w:w="5040"/>
          </w:tcPr>
          <w:p>
            <w:pPr>
              <w:jc w:val="right"/>
            </w:pPr>
            <w:r>
              <w:rPr>
                <w:b/>
              </w:rPr>
              <w:t xml:space="preserve">Catalog: </w:t>
            </w:r>
            <w:r>
              <w:t>100 Verified SKUs (10 Categories)</w:t>
              <w:br/>
            </w:r>
            <w:r>
              <w:rPr>
                <w:b/>
              </w:rPr>
              <w:t xml:space="preserve">Cohort: </w:t>
            </w:r>
            <w:r>
              <w:t>60 Students, 30 Days (1,800 Logs)</w:t>
              <w:br/>
            </w:r>
            <w:r>
              <w:rPr>
                <w:b/>
              </w:rPr>
              <w:t xml:space="preserve">Architecture: </w:t>
            </w:r>
            <w:r>
              <w:t>100% Client-Side Pure Browser (Port 5555)</w:t>
            </w:r>
          </w:p>
        </w:tc>
      </w:tr>
    </w:tbl>
    <w:p/>
    <w:p>
      <w:pPr>
        <w:pStyle w:val="Heading1"/>
      </w:pPr>
      <w:r>
        <w:rPr>
          <w:rFonts w:ascii="Segoe UI" w:hAnsi="Segoe UI"/>
          <w:b/>
          <w:color w:val="0F172A"/>
          <w:sz w:val="28"/>
        </w:rPr>
        <w:t>Executive Summary</w:t>
      </w:r>
    </w:p>
    <w:p>
      <w:r>
        <w:t>This technical report articulates the comprehensive solution, mathematical modeling, and interactive visualization architecture for 'Invisible Habits, Visible Energy'. The project addresses a universal student health dilemma: everyday micro-level dietary decisions (such as drinking a 330 ml can of cola during lunch, eating packaged fried namkeen during late study sessions, skipping breakfast, or drinking ready-to-drink coffee past 15:00) feel insignificant in isolation, yet cumulatively induce acute daytime fatigue, afternoon brain fog, and disrupted circadian rhythms.</w:t>
      </w:r>
    </w:p>
    <w:p>
      <w:r>
        <w:t>To resolve this cognitive-perceptual gap, we built a zero-backend, single-page web dashboard that combines an exact 100-SKU Indian food catalog with manufacturer-verified nutrition panels, a deterministic 60-student, 30-day cohort dataset (1,800 records generated via Mulberry32 PRNG), a live reactive simulation engine with manual range sliders and natural-language AI scenario synthesis, an interactive Nutritive Dietary Plan Engine compliant with the ICMR-NIN 2024 Dietary Guidelines for Indians, and high-performance visualizations.</w:t>
      </w:r>
    </w:p>
    <w:p>
      <w:pPr>
        <w:pStyle w:val="Heading1"/>
      </w:pPr>
      <w:r>
        <w:rPr>
          <w:rFonts w:ascii="Segoe UI" w:hAnsi="Segoe UI"/>
          <w:b/>
          <w:color w:val="0F172A"/>
          <w:sz w:val="28"/>
        </w:rPr>
        <w:t>1. Problem Background &amp; The Cognitive-Perceptual Gap</w:t>
      </w:r>
    </w:p>
    <w:p>
      <w:r>
        <w:t>University students face multifaceted pressures where meals are routinely displaced by assignment deadlines, academic evaluations, and peer activities. Food choices depend overwhelmingly on convenience, taste cravings, cost, and peer influence rather than nutritional density. Energy drinks and sugary snacks are cheap, ubiquitous, and marketed as quick fatigue remedies.</w:t>
      </w:r>
    </w:p>
    <w:p>
      <w:r>
        <w:t>The Cognitive-Perceptual Gap represents the delayed, non-linear physiological feedback loop: a student experiencing afternoon lethargy at 15:30 rarely attributes it to the glycemic drop of a morning sugary drink and skipped breakfast, or the nocturnal sleep disruption caused by caffeine consumed 18 hours earlier. Generic health advice fails because it is preachy, vague, and judgmental. By providing an objective, non-shaming mirror that links specific consumption items to energy (1–5) and mood (1–5) ratings, students gain clear visibility into their personal behavioral patterns.</w:t>
      </w:r>
    </w:p>
    <w:tbl>
      <w:tblPr>
        <w:tblW w:type="auto" w:w="0"/>
        <w:jc w:val="center"/>
        <w:tblLook w:firstColumn="1" w:firstRow="1" w:lastColumn="0" w:lastRow="0" w:noHBand="0" w:noVBand="1" w:val="04A0"/>
      </w:tblPr>
      <w:tblGrid>
        <w:gridCol w:w="10080"/>
      </w:tblGrid>
      <w:tr>
        <w:tc>
          <w:tcPr>
            <w:tcW w:type="dxa" w:w="10080"/>
            <w:shd w:fill="f8fafc"/>
            <w:tcBorders>
              <w:top w:val="none"/>
              <w:left w:val="single" w:sz="24" w:space="0" w:color="0d9488"/>
              <w:bottom w:val="none"/>
              <w:right w:val="none"/>
            </w:tcBorders>
          </w:tcPr>
          <w:p>
            <w:pPr>
              <w:spacing w:before="80" w:after="80"/>
            </w:pPr>
            <w:r>
              <w:rPr>
                <w:rFonts w:ascii="Segoe UI" w:hAnsi="Segoe UI"/>
                <w:b/>
                <w:color w:val="0F172A"/>
                <w:sz w:val="19"/>
              </w:rPr>
              <w:t>Behavioral Shift: 'Exam days' vs. 'Regular days'</w:t>
              <w:br/>
            </w:r>
            <w:r>
              <w:rPr>
                <w:rFonts w:ascii="Segoe UI" w:hAnsi="Segoe UI"/>
                <w:sz w:val="18"/>
              </w:rPr>
              <w:t>The platform standardizes academic periods into Regular days (baseline routines) and Exam days (Days 15–20). During Exam days, the cohort exhibits acute behavioral shifts: sleep duration drops by 1.4 hours, late caffeine intake (&gt;15:00) surges by 2.4x, ultra-processed food consumption rises by 38%, and meal regularity deviates by over 45 minutes, triggering a 2.1x spike in low-energy days (rating &lt;= 2).</w:t>
            </w:r>
          </w:p>
        </w:tc>
      </w:tr>
    </w:tbl>
    <w:p/>
    <w:p>
      <w:pPr>
        <w:pStyle w:val="Heading1"/>
      </w:pPr>
      <w:r>
        <w:rPr>
          <w:rFonts w:ascii="Segoe UI" w:hAnsi="Segoe UI"/>
          <w:b/>
          <w:color w:val="0F172A"/>
          <w:sz w:val="28"/>
        </w:rPr>
        <w:t>2. Comparative Analysis with Existing Health Tools</w:t>
      </w:r>
    </w:p>
    <w:p>
      <w:r>
        <w:t>While numerous health trackers exist, none address the intersection of group pattern exploration, Indian dietary specificity, and non-clinical subjective energy modeling. The comparative matrix below demonstrates this critical market gap:</w:t>
      </w:r>
    </w:p>
    <w:tbl>
      <w:tblPr>
        <w:tblW w:type="auto" w:w="0"/>
        <w:jc w:val="center"/>
        <w:tblLook w:firstColumn="1" w:firstRow="1" w:lastColumn="0" w:lastRow="0" w:noHBand="0" w:noVBand="1" w:val="04A0"/>
      </w:tblPr>
      <w:tblGrid>
        <w:gridCol w:w="2520"/>
        <w:gridCol w:w="2520"/>
        <w:gridCol w:w="2520"/>
        <w:gridCol w:w="2520"/>
      </w:tblGrid>
      <w:tr>
        <w:tc>
          <w:tcPr>
            <w:tcW w:type="dxa" w:w="2160"/>
            <w:shd w:fill="f1f5f9"/>
          </w:tcPr>
          <w:p>
            <w:r>
              <w:rPr>
                <w:rFonts w:ascii="Segoe UI" w:hAnsi="Segoe UI"/>
                <w:b/>
                <w:sz w:val="17"/>
              </w:rPr>
              <w:t>Tool Category</w:t>
            </w:r>
          </w:p>
        </w:tc>
        <w:tc>
          <w:tcPr>
            <w:tcW w:type="dxa" w:w="2160"/>
            <w:shd w:fill="f1f5f9"/>
          </w:tcPr>
          <w:p>
            <w:r>
              <w:rPr>
                <w:rFonts w:ascii="Segoe UI" w:hAnsi="Segoe UI"/>
                <w:b/>
                <w:sz w:val="17"/>
              </w:rPr>
              <w:t>Examples</w:t>
            </w:r>
          </w:p>
        </w:tc>
        <w:tc>
          <w:tcPr>
            <w:tcW w:type="dxa" w:w="2880"/>
            <w:shd w:fill="f1f5f9"/>
          </w:tcPr>
          <w:p>
            <w:r>
              <w:rPr>
                <w:rFonts w:ascii="Segoe UI" w:hAnsi="Segoe UI"/>
                <w:b/>
                <w:sz w:val="17"/>
              </w:rPr>
              <w:t>Key Strengths</w:t>
            </w:r>
          </w:p>
        </w:tc>
        <w:tc>
          <w:tcPr>
            <w:tcW w:type="dxa" w:w="2880"/>
            <w:shd w:fill="f1f5f9"/>
          </w:tcPr>
          <w:p>
            <w:r>
              <w:rPr>
                <w:rFonts w:ascii="Segoe UI" w:hAnsi="Segoe UI"/>
                <w:b/>
                <w:sz w:val="17"/>
              </w:rPr>
              <w:t>Critical Gap for This Problem</w:t>
            </w:r>
          </w:p>
        </w:tc>
      </w:tr>
      <w:tr>
        <w:tc>
          <w:tcPr>
            <w:tcW w:type="dxa" w:w="2160"/>
            <w:shd w:fill="f8fafc"/>
          </w:tcPr>
          <w:p>
            <w:r>
              <w:rPr>
                <w:rFonts w:ascii="Segoe UI" w:hAnsi="Segoe UI"/>
                <w:sz w:val="16"/>
              </w:rPr>
              <w:t>Calorie &amp; Food Trackers</w:t>
            </w:r>
          </w:p>
        </w:tc>
        <w:tc>
          <w:tcPr>
            <w:tcW w:type="dxa" w:w="2160"/>
            <w:shd w:fill="f8fafc"/>
          </w:tcPr>
          <w:p>
            <w:r>
              <w:rPr>
                <w:rFonts w:ascii="Segoe UI" w:hAnsi="Segoe UI"/>
                <w:sz w:val="16"/>
              </w:rPr>
              <w:t>MyFitnessPal, Cronometer</w:t>
            </w:r>
          </w:p>
        </w:tc>
        <w:tc>
          <w:tcPr>
            <w:tcW w:type="dxa" w:w="2880"/>
            <w:shd w:fill="f8fafc"/>
          </w:tcPr>
          <w:p>
            <w:r>
              <w:rPr>
                <w:rFonts w:ascii="Segoe UI" w:hAnsi="Segoe UI"/>
                <w:sz w:val="16"/>
              </w:rPr>
              <w:t>Large food databases, macro tracking, calorie burn counting.</w:t>
            </w:r>
          </w:p>
        </w:tc>
        <w:tc>
          <w:tcPr>
            <w:tcW w:type="dxa" w:w="2880"/>
            <w:shd w:fill="f8fafc"/>
          </w:tcPr>
          <w:p>
            <w:r>
              <w:rPr>
                <w:rFonts w:ascii="Segoe UI" w:hAnsi="Segoe UI"/>
                <w:sz w:val="16"/>
              </w:rPr>
              <w:t>Built for individual weight loss; does not analyze group patterns, circadian regularity, or links to subjective vitality.</w:t>
            </w:r>
          </w:p>
        </w:tc>
      </w:tr>
      <w:tr>
        <w:tc>
          <w:tcPr>
            <w:tcW w:type="dxa" w:w="2160"/>
          </w:tcPr>
          <w:p>
            <w:r>
              <w:rPr>
                <w:rFonts w:ascii="Segoe UI" w:hAnsi="Segoe UI"/>
                <w:sz w:val="16"/>
              </w:rPr>
              <w:t>Fitness &amp; Wearables</w:t>
            </w:r>
          </w:p>
        </w:tc>
        <w:tc>
          <w:tcPr>
            <w:tcW w:type="dxa" w:w="2160"/>
          </w:tcPr>
          <w:p>
            <w:r>
              <w:rPr>
                <w:rFonts w:ascii="Segoe UI" w:hAnsi="Segoe UI"/>
                <w:sz w:val="16"/>
              </w:rPr>
              <w:t>Apple Health, Google Fit, Fitbit</w:t>
            </w:r>
          </w:p>
        </w:tc>
        <w:tc>
          <w:tcPr>
            <w:tcW w:type="dxa" w:w="2880"/>
          </w:tcPr>
          <w:p>
            <w:r>
              <w:rPr>
                <w:rFonts w:ascii="Segoe UI" w:hAnsi="Segoe UI"/>
                <w:sz w:val="16"/>
              </w:rPr>
              <w:t>Strong steps and sleep tracking, automated heart rate.</w:t>
            </w:r>
          </w:p>
        </w:tc>
        <w:tc>
          <w:tcPr>
            <w:tcW w:type="dxa" w:w="2880"/>
          </w:tcPr>
          <w:p>
            <w:r>
              <w:rPr>
                <w:rFonts w:ascii="Segoe UI" w:hAnsi="Segoe UI"/>
                <w:sz w:val="16"/>
              </w:rPr>
              <w:t>Little or no food and drink detail, especially Indian beverages, snacks, and street foods.</w:t>
            </w:r>
          </w:p>
        </w:tc>
      </w:tr>
      <w:tr>
        <w:tc>
          <w:tcPr>
            <w:tcW w:type="dxa" w:w="2160"/>
            <w:shd w:fill="f8fafc"/>
          </w:tcPr>
          <w:p>
            <w:r>
              <w:rPr>
                <w:rFonts w:ascii="Segoe UI" w:hAnsi="Segoe UI"/>
                <w:sz w:val="16"/>
              </w:rPr>
              <w:t>Indian Health Apps</w:t>
            </w:r>
          </w:p>
        </w:tc>
        <w:tc>
          <w:tcPr>
            <w:tcW w:type="dxa" w:w="2160"/>
            <w:shd w:fill="f8fafc"/>
          </w:tcPr>
          <w:p>
            <w:r>
              <w:rPr>
                <w:rFonts w:ascii="Segoe UI" w:hAnsi="Segoe UI"/>
                <w:sz w:val="16"/>
              </w:rPr>
              <w:t>HealthifyMe</w:t>
            </w:r>
          </w:p>
        </w:tc>
        <w:tc>
          <w:tcPr>
            <w:tcW w:type="dxa" w:w="2880"/>
            <w:shd w:fill="f8fafc"/>
          </w:tcPr>
          <w:p>
            <w:r>
              <w:rPr>
                <w:rFonts w:ascii="Segoe UI" w:hAnsi="Segoe UI"/>
                <w:sz w:val="16"/>
              </w:rPr>
              <w:t>Indian food database coverage, human nutritionist coaching.</w:t>
            </w:r>
          </w:p>
        </w:tc>
        <w:tc>
          <w:tcPr>
            <w:tcW w:type="dxa" w:w="2880"/>
            <w:shd w:fill="f8fafc"/>
          </w:tcPr>
          <w:p>
            <w:r>
              <w:rPr>
                <w:rFonts w:ascii="Segoe UI" w:hAnsi="Segoe UI"/>
                <w:sz w:val="16"/>
              </w:rPr>
              <w:t>Subscription paywalls, 1-on-1 coaching focus; no exploratory multi-student cohort simulations or open research tools.</w:t>
            </w:r>
          </w:p>
        </w:tc>
      </w:tr>
      <w:tr>
        <w:tc>
          <w:tcPr>
            <w:tcW w:type="dxa" w:w="2160"/>
          </w:tcPr>
          <w:p>
            <w:r>
              <w:rPr>
                <w:rFonts w:ascii="Segoe UI" w:hAnsi="Segoe UI"/>
                <w:sz w:val="16"/>
              </w:rPr>
              <w:t>General BI Tools</w:t>
            </w:r>
          </w:p>
        </w:tc>
        <w:tc>
          <w:tcPr>
            <w:tcW w:type="dxa" w:w="2160"/>
          </w:tcPr>
          <w:p>
            <w:r>
              <w:rPr>
                <w:rFonts w:ascii="Segoe UI" w:hAnsi="Segoe UI"/>
                <w:sz w:val="16"/>
              </w:rPr>
              <w:t>Tableau, Microsoft Power BI</w:t>
            </w:r>
          </w:p>
        </w:tc>
        <w:tc>
          <w:tcPr>
            <w:tcW w:type="dxa" w:w="2880"/>
          </w:tcPr>
          <w:p>
            <w:r>
              <w:rPr>
                <w:rFonts w:ascii="Segoe UI" w:hAnsi="Segoe UI"/>
                <w:sz w:val="16"/>
              </w:rPr>
              <w:t>Flexible charting, multi-attribute filtering, enterprise connectivity.</w:t>
            </w:r>
          </w:p>
        </w:tc>
        <w:tc>
          <w:tcPr>
            <w:tcW w:type="dxa" w:w="2880"/>
          </w:tcPr>
          <w:p>
            <w:r>
              <w:rPr>
                <w:rFonts w:ascii="Segoe UI" w:hAnsi="Segoe UI"/>
                <w:sz w:val="16"/>
              </w:rPr>
              <w:t>Must be built from scratch; no pre-built health benchmarks, product catalogs, or dietary engines.</w:t>
            </w:r>
          </w:p>
        </w:tc>
      </w:tr>
      <w:tr>
        <w:tc>
          <w:tcPr>
            <w:tcW w:type="dxa" w:w="2160"/>
            <w:shd w:fill="f8fafc"/>
          </w:tcPr>
          <w:p>
            <w:r>
              <w:rPr>
                <w:rFonts w:ascii="Segoe UI" w:hAnsi="Segoe UI"/>
                <w:sz w:val="16"/>
              </w:rPr>
              <w:t>This Project</w:t>
            </w:r>
          </w:p>
        </w:tc>
        <w:tc>
          <w:tcPr>
            <w:tcW w:type="dxa" w:w="2160"/>
            <w:shd w:fill="f8fafc"/>
          </w:tcPr>
          <w:p>
            <w:r>
              <w:rPr>
                <w:rFonts w:ascii="Segoe UI" w:hAnsi="Segoe UI"/>
                <w:sz w:val="16"/>
              </w:rPr>
              <w:t>Invisible Habits, Visible Energy</w:t>
            </w:r>
          </w:p>
        </w:tc>
        <w:tc>
          <w:tcPr>
            <w:tcW w:type="dxa" w:w="2880"/>
            <w:shd w:fill="f8fafc"/>
          </w:tcPr>
          <w:p>
            <w:r>
              <w:rPr>
                <w:rFonts w:ascii="Segoe UI" w:hAnsi="Segoe UI"/>
                <w:sz w:val="16"/>
              </w:rPr>
              <w:t>100 verified Indian SKUs, client-side privacy, deterministic simulation, 8 modular tabs.</w:t>
            </w:r>
          </w:p>
        </w:tc>
        <w:tc>
          <w:tcPr>
            <w:tcW w:type="dxa" w:w="2880"/>
            <w:shd w:fill="f8fafc"/>
          </w:tcPr>
          <w:p>
            <w:r>
              <w:rPr>
                <w:rFonts w:ascii="Segoe UI" w:hAnsi="Segoe UI"/>
                <w:sz w:val="16"/>
              </w:rPr>
              <w:t>Fills the exact gap: Unites product-level Indian nutrition, circadian timing, subjective energy correlations, and interactive cohort modeling.</w:t>
            </w:r>
          </w:p>
        </w:tc>
      </w:tr>
    </w:tbl>
    <w:p/>
    <w:p>
      <w:pPr>
        <w:pStyle w:val="Heading1"/>
      </w:pPr>
      <w:r>
        <w:rPr>
          <w:rFonts w:ascii="Segoe UI" w:hAnsi="Segoe UI"/>
          <w:b/>
          <w:color w:val="0F172A"/>
          <w:sz w:val="28"/>
        </w:rPr>
        <w:t>3. System Architecture &amp; 5-Tier Data Pipeline</w:t>
      </w:r>
    </w:p>
    <w:p>
      <w:r>
        <w:t>The application architecture follows a pure client-side, zero-dependency model. All calculations, filtering, dynamic cohort simulations, and chart rendering execute inside the user's browser in sub-50 milliseconds.</w:t>
      </w:r>
    </w:p>
    <w:tbl>
      <w:tblPr>
        <w:tblW w:type="auto" w:w="0"/>
        <w:jc w:val="center"/>
        <w:tblLook w:firstColumn="1" w:firstRow="1" w:lastColumn="0" w:lastRow="0" w:noHBand="0" w:noVBand="1" w:val="04A0"/>
      </w:tblPr>
      <w:tblGrid>
        <w:gridCol w:w="10080"/>
      </w:tblGrid>
      <w:tr>
        <w:tc>
          <w:tcPr>
            <w:tcW w:type="dxa" w:w="10080"/>
            <w:shd w:fill="f8fafc"/>
            <w:tcBorders>
              <w:top w:val="none"/>
              <w:left w:val="single" w:sz="24" w:space="0" w:color="0d9488"/>
              <w:bottom w:val="none"/>
              <w:right w:val="none"/>
            </w:tcBorders>
          </w:tcPr>
          <w:p>
            <w:pPr>
              <w:spacing w:before="80" w:after="80"/>
            </w:pPr>
            <w:r>
              <w:rPr>
                <w:rFonts w:ascii="Segoe UI" w:hAnsi="Segoe UI"/>
                <w:b/>
                <w:color w:val="0F172A"/>
                <w:sz w:val="19"/>
              </w:rPr>
              <w:t>Figure 1: End-to-End System Data Flow Pipeline</w:t>
              <w:br/>
            </w:r>
            <w:r>
              <w:rPr>
                <w:rFonts w:ascii="Segoe UI" w:hAnsi="Segoe UI"/>
                <w:sz w:val="18"/>
              </w:rPr>
              <w:t>[Daily Student Log Form] --&gt; [100-SKU Product Catalog]</w:t>
              <w:br/>
              <w:t xml:space="preserve">         |</w:t>
              <w:br/>
              <w:t xml:space="preserve">         v</w:t>
              <w:br/>
              <w:t>[Processing &amp; Validation Layer] (Null checks, Excluded SKU tracking, PRNG generation)</w:t>
              <w:br/>
              <w:t xml:space="preserve">         |</w:t>
              <w:br/>
              <w:t xml:space="preserve">         v</w:t>
              <w:br/>
              <w:t>[Analytical Computation Engine] (Regularity Index, Late Caffeine Flag, Moving Averages)</w:t>
              <w:br/>
              <w:t xml:space="preserve">         |</w:t>
              <w:br/>
              <w:t xml:space="preserve">         v</w:t>
              <w:br/>
              <w:t>[Interactive Dashboard (8 Tabs)] &lt;--&gt; [Nutritive Dietary Plan Engine] &lt;--&gt; [Simulation Feedback Loop]</w:t>
            </w:r>
          </w:p>
        </w:tc>
      </w:tr>
    </w:tbl>
    <w:p/>
    <w:p>
      <w:pPr>
        <w:pStyle w:val="Heading1"/>
      </w:pPr>
      <w:r>
        <w:rPr>
          <w:rFonts w:ascii="Segoe UI" w:hAnsi="Segoe UI"/>
          <w:b/>
          <w:color w:val="0F172A"/>
          <w:sz w:val="28"/>
        </w:rPr>
        <w:t>4. Core Mathematical Formulations &amp; Algorithms</w:t>
      </w:r>
    </w:p>
    <w:tbl>
      <w:tblPr>
        <w:tblW w:type="auto" w:w="0"/>
        <w:jc w:val="center"/>
        <w:tblLook w:firstColumn="1" w:firstRow="1" w:lastColumn="0" w:lastRow="0" w:noHBand="0" w:noVBand="1" w:val="04A0"/>
      </w:tblPr>
      <w:tblGrid>
        <w:gridCol w:w="10080"/>
      </w:tblGrid>
      <w:tr>
        <w:tc>
          <w:tcPr>
            <w:tcW w:type="dxa" w:w="10080"/>
            <w:shd w:fill="f8fafc"/>
            <w:tcBorders>
              <w:top w:val="none"/>
              <w:left w:val="single" w:sz="24" w:space="0" w:color="0d9488"/>
              <w:bottom w:val="none"/>
              <w:right w:val="none"/>
            </w:tcBorders>
          </w:tcPr>
          <w:p>
            <w:pPr>
              <w:spacing w:before="80" w:after="80"/>
            </w:pPr>
            <w:r>
              <w:rPr>
                <w:rFonts w:ascii="Segoe UI" w:hAnsi="Segoe UI"/>
                <w:b/>
                <w:color w:val="0F172A"/>
                <w:sz w:val="19"/>
              </w:rPr>
              <w:t>Formulas and Metric Derivations</w:t>
              <w:br/>
            </w:r>
            <w:r>
              <w:rPr>
                <w:rFonts w:ascii="Segoe UI" w:hAnsi="Segoe UI"/>
                <w:sz w:val="18"/>
              </w:rPr>
              <w:t>1. Sugar_day = SUM(Servings_i * SKU_i.sugar_g)  [for verified = true]</w:t>
              <w:br/>
              <w:t>2. Caffeine_day = SUM(Servings_i * SKU_i.caffeine_mg)  [for verified = true]</w:t>
              <w:br/>
              <w:t>3. Energy_day = SUM(Servings_i * SKU_i.kcal)  [for verified = true]</w:t>
              <w:br/>
              <w:t>4. Meal Regularity Index = SQRT( (1/N) * SUM( (t_m - mu_meals)^2 ) )  [standard deviation in minutes]</w:t>
              <w:br/>
              <w:t>5. Late Caffeine Flag = True if (Last Drink Time &gt; 15:00) and (Caffeine &gt; 0mg)</w:t>
              <w:br/>
              <w:t>6. Low-Energy Day Flag = True if (Energy Rating &lt;= 2 on 1-5 scale)</w:t>
              <w:br/>
              <w:t>7. Vitality Score = 50 + (Sleep_hrs * 6) - (Junk_pct * 0.4) + (Workout_hrs * 8) - (Stress * 5) - (Screen_hrs * 2)</w:t>
            </w:r>
          </w:p>
        </w:tc>
      </w:tr>
    </w:tbl>
    <w:p/>
    <w:p>
      <w:pPr>
        <w:pStyle w:val="Heading1"/>
      </w:pPr>
      <w:r>
        <w:rPr>
          <w:rFonts w:ascii="Segoe UI" w:hAnsi="Segoe UI"/>
          <w:b/>
          <w:color w:val="0F172A"/>
          <w:sz w:val="28"/>
        </w:rPr>
        <w:t>5. 100-SKU Product Catalog &amp; Synthetic Cohort</w:t>
      </w:r>
    </w:p>
    <w:p>
      <w:r>
        <w:t>The catalog incorporates exactly 100 consumer products commonly consumed by Indian college students across 10 structured categories: Carbonated soft drinks (14), Energy drinks (8), Packaged juices (10), RTD tea &amp; coffee (8), Chips &amp; namkeen (12), Biscuits &amp; cookies (10), Instant noodles &amp; ready meals (8), Chocolates &amp; sweets (8), Fast food items (8), and Fresh/minimally processed foods (14). All items benchmark manufacturer nutrition facts against the Indian Food Composition Tables (IFCT 2017).</w:t>
      </w:r>
    </w:p>
    <w:p>
      <w:pPr>
        <w:pStyle w:val="Heading1"/>
      </w:pPr>
      <w:r>
        <w:rPr>
          <w:rFonts w:ascii="Segoe UI" w:hAnsi="Segoe UI"/>
          <w:b/>
          <w:color w:val="0F172A"/>
          <w:sz w:val="28"/>
        </w:rPr>
        <w:t>6. Platform Visual Interface (8 Core Tabs)</w:t>
      </w:r>
    </w:p>
    <w:p>
      <w:r>
        <w:t>1. Tab 1 — SaaS Bento Box Showcase: Modular bento grid showcasing a live 3D isometric product dashboard chart graphic with real-time mouse tilt interaction, student testimonials with user avatars, integration badges, and platform feature highlights.</w:t>
        <w:br/>
        <w:t>2. Tab 2 — Nutritive Dietary Plan Engine: Interactive health assessment evaluating individual sleep, discrete meals, friends time, screen hours, and junk ratio to compute a vital shift and generate targeted whole-food meal plans compliant with ICMR-NIN guidelines.</w:t>
        <w:br/>
        <w:t>3. Tab 3 — Cohort Summary &amp; 4D Phase-Space Vitality Orbit: Plots all 60 students in 4D phase space (Sleep vs. Energy vs. Sugar vs. Vitality Color) with physics repositioning across 4 quadrant zones (Peak Stamina, Adrenaline Overdrive, Critical Exhaustion, Sedentary Sluggishness).</w:t>
        <w:br/>
        <w:t>4. Tab 4 — Temporal Trends &amp; Meal Regularity: Dedicated manual input controls (Meal Regularity, Exam Days Dip, Weekend Rebound, Late Caffeine), 30-Day Trajectory Line Chart with 7-Day Moving Average and shaded Exam days band, Weekday Seasonality Bar Chart, Regularity Histogram Bar Chart, Circadian Polar Clock Dial, and Living D3 Calendar Heatmap.</w:t>
        <w:br/>
        <w:t>5. Tab 5 — Food, Drinks &amp; Choice Drivers: Dedicated manual input controls (Ultra-Processed Ratio, Free Sugar Shift, Caffeine Surge, Convenience Bias), Food Processing vs. Energy Response Curve Graph with active simulation marker pin, Nutritional Contribution Stacked Bar Chart, Food Choice Drivers Grouped Bar Chart, Fried vs. Baked Snack Donut, Nutrient Balance Beams, and Living D3 Sankey Diagram.</w:t>
        <w:br/>
        <w:t>6. Tab 6 — 30-Day Monthly Energy Calendar: Interactive calendar matrix coloring each date by cohort energy levels (1 to 5), with one-click drill-down inspection cards.</w:t>
        <w:br/>
        <w:t>7. Tab 7 — Product Catalog Explorer: Searchable, sortable catalog of all 100 SKUs with verified nutritional facts, ingredient tags, and data gap disclosures.</w:t>
        <w:br/>
        <w:t>8. Tab 8 — Methodology, Standards &amp; Support: Documentation of ICMR-NIN guidelines, research citations, Mulberry32 PRNG seed verification, and campus wellness support resources.</w:t>
      </w:r>
    </w:p>
    <w:p>
      <w:pPr>
        <w:pStyle w:val="Heading1"/>
      </w:pPr>
      <w:r>
        <w:rPr>
          <w:rFonts w:ascii="Segoe UI" w:hAnsi="Segoe UI"/>
          <w:b/>
          <w:color w:val="0F172A"/>
          <w:sz w:val="28"/>
        </w:rPr>
        <w:t>7. Key Empirical Findings &amp; Quantitative Insights</w:t>
      </w:r>
    </w:p>
    <w:tbl>
      <w:tblPr>
        <w:tblW w:type="auto" w:w="0"/>
        <w:jc w:val="center"/>
        <w:tblLook w:firstColumn="1" w:firstRow="1" w:lastColumn="0" w:lastRow="0" w:noHBand="0" w:noVBand="1" w:val="04A0"/>
      </w:tblPr>
      <w:tblGrid>
        <w:gridCol w:w="10080"/>
      </w:tblGrid>
      <w:tr>
        <w:tc>
          <w:tcPr>
            <w:tcW w:type="dxa" w:w="10080"/>
            <w:shd w:fill="f8fafc"/>
            <w:tcBorders>
              <w:top w:val="none"/>
              <w:left w:val="single" w:sz="24" w:space="0" w:color="0d9488"/>
              <w:bottom w:val="none"/>
              <w:right w:val="none"/>
            </w:tcBorders>
          </w:tcPr>
          <w:p>
            <w:pPr>
              <w:spacing w:before="80" w:after="80"/>
            </w:pPr>
            <w:r>
              <w:rPr>
                <w:rFonts w:ascii="Segoe UI" w:hAnsi="Segoe UI"/>
                <w:b/>
                <w:color w:val="0F172A"/>
                <w:sz w:val="19"/>
              </w:rPr>
              <w:t>Quantitative Cohort Insights</w:t>
              <w:br/>
            </w:r>
            <w:r>
              <w:rPr>
                <w:rFonts w:ascii="Segoe UI" w:hAnsi="Segoe UI"/>
                <w:sz w:val="18"/>
              </w:rPr>
              <w:t>Finding 1: Single-Serve Sugar Inundation — A single 330 ml can of cola (35-40g sugar) or 250 ml energy drink (28-31g sugar) immediately exceeds the ICMR-NIN recommended 25g/day limit. Days with sugar &gt;45g correlated with a 68% surge in afternoon reactive hypoglycemia.</w:t>
              <w:br/>
              <w:br/>
              <w:t>Finding 2: Circadian Caffeine Timing — Caffeine consumed after 15:00 reduced deep sleep by 1.1 hours and resulted in a 2.3x higher rate of morning fatigue.</w:t>
              <w:br/>
              <w:br/>
              <w:t>Finding 3: Meal Regularity Vitality Multiplier — Students with strict timing (sigma &lt;= 25 min) maintained average energy ratings of 3.9/5.0, vs 2.4/5.0 for erratic timing.</w:t>
              <w:br/>
              <w:br/>
              <w:t>Finding 4: Exam Crunch Triad — During Exam days (Days 15-20), late nights (&lt;5.5h sleep), late caffeine, and delivery dominance triggered a 42% drop in sustained energy.</w:t>
            </w:r>
          </w:p>
        </w:tc>
      </w:tr>
    </w:tbl>
    <w:p/>
    <w:p>
      <w:pPr>
        <w:pStyle w:val="Heading1"/>
      </w:pPr>
      <w:r>
        <w:rPr>
          <w:rFonts w:ascii="Segoe UI" w:hAnsi="Segoe UI"/>
          <w:b/>
          <w:color w:val="0F172A"/>
          <w:sz w:val="28"/>
        </w:rPr>
        <w:t>8. Personalized Nutritive Dietary Plan Engine</w:t>
      </w:r>
    </w:p>
    <w:p>
      <w:r>
        <w:t>Tab 2 provides personalized, whole-food substitutions based on ICMR-NIN 2024 guidance:</w:t>
        <w:br/>
        <w:t>• Fried Namkeen (450 kcal, 650mg sodium) --&gt; Roasted Chana &amp; Peanuts (18g plant protein, low glycemic index, sustained satiety)</w:t>
        <w:br/>
        <w:t>• Carbonated Soft Drinks (38g sugar) --&gt; Plain Curd with Banana or Coconut Water (potassium, natural electrolytes, probiotics)</w:t>
        <w:br/>
        <w:t>• Instant Noodles (1050mg sodium, maida) --&gt; Sprouts Chaat or Ragi Porridge (8g complex fiber, iron, B-vitamins)</w:t>
        <w:br/>
        <w:t>• Late Sweet RTD Coffee (after 16:00) --&gt; Warm Herbal Infusion or Plain Water (eliminates adenosine receptor blockade)</w:t>
      </w:r>
    </w:p>
    <w:p>
      <w:pPr>
        <w:pStyle w:val="Heading1"/>
      </w:pPr>
      <w:r>
        <w:rPr>
          <w:rFonts w:ascii="Segoe UI" w:hAnsi="Segoe UI"/>
          <w:b/>
          <w:color w:val="0F172A"/>
          <w:sz w:val="28"/>
        </w:rPr>
        <w:t>9. Critical Evaluation: Advantages &amp; Limitations</w:t>
      </w:r>
    </w:p>
    <w:tbl>
      <w:tblPr>
        <w:tblW w:type="auto" w:w="0"/>
        <w:jc w:val="center"/>
        <w:tblLook w:firstColumn="1" w:firstRow="1" w:lastColumn="0" w:lastRow="0" w:noHBand="0" w:noVBand="1" w:val="04A0"/>
      </w:tblPr>
      <w:tblGrid>
        <w:gridCol w:w="10080"/>
      </w:tblGrid>
      <w:tr>
        <w:tc>
          <w:tcPr>
            <w:tcW w:type="dxa" w:w="10080"/>
            <w:shd w:fill="fffbeb"/>
            <w:tcBorders>
              <w:top w:val="none"/>
              <w:left w:val="single" w:sz="24" w:space="0" w:color="f59e0b"/>
              <w:bottom w:val="none"/>
              <w:right w:val="none"/>
            </w:tcBorders>
          </w:tcPr>
          <w:p>
            <w:pPr>
              <w:spacing w:before="80" w:after="80"/>
            </w:pPr>
            <w:r>
              <w:rPr>
                <w:rFonts w:ascii="Segoe UI" w:hAnsi="Segoe UI"/>
                <w:b/>
                <w:color w:val="0F172A"/>
                <w:sz w:val="19"/>
              </w:rPr>
              <w:t>Critical Analysis</w:t>
              <w:br/>
            </w:r>
            <w:r>
              <w:rPr>
                <w:rFonts w:ascii="Segoe UI" w:hAnsi="Segoe UI"/>
                <w:sz w:val="18"/>
              </w:rPr>
              <w:t>Advantages: Client-side privacy (zero server logs), non-shaming language, open deterministic codebase (Mulberry32 seed 20261025), seamless accessibility across mobile (360px) and desktop (1440px).</w:t>
              <w:br/>
              <w:br/>
              <w:t>Limitations: Synthetic cohort data (illustrative of tool capabilities rather than real observational students), self-reporting inaccuracies in real logs, correlation vs causation caveats, and unverified packaging disclosures requiring conservative data exclusion.</w:t>
            </w:r>
          </w:p>
        </w:tc>
      </w:tr>
    </w:tbl>
    <w:p/>
    <w:p>
      <w:pPr>
        <w:pStyle w:val="Heading1"/>
      </w:pPr>
      <w:r>
        <w:rPr>
          <w:rFonts w:ascii="Segoe UI" w:hAnsi="Segoe UI"/>
          <w:b/>
          <w:color w:val="0F172A"/>
          <w:sz w:val="28"/>
        </w:rPr>
        <w:t>10. Authoritative References &amp; Citations</w:t>
      </w:r>
    </w:p>
    <w:p>
      <w:r>
        <w:t>1. ICMR-NIN (2024): Dietary Guidelines for Indians: A Manual. National Institute of Nutrition, Hyderabad.</w:t>
        <w:br/>
        <w:t>2. NFHS-5 (2019-2021): National Family Health Survey (NFHS-5) India Report. IIPS &amp; ICF, Mumbai.</w:t>
        <w:br/>
        <w:t>3. IFCT (2017): Indian Food Composition Tables. National Institute of Nutrition (ICMR), Hyderabad.</w:t>
        <w:br/>
        <w:t>4. Centre for Science and Environment (CSE, 2020): Salt, Sugar and Fat: A Survey of Packaged Junk Foods Sold Across India. New Delhi.</w:t>
        <w:br/>
        <w:t>5. AIIMS Bhopal Study (2022): Sugar-sweetened beverage consumption and daytime somnolence among undergraduate medical students.</w:t>
        <w:br/>
        <w:t>6. Journal of Clinical &amp; Diagnostic Research (May 2024): Educational interventions and visual habit tracking on ultra-processed food and energy drink intake.</w:t>
      </w:r>
    </w:p>
    <w:sectPr w:rsidR="00FC693F" w:rsidRPr="0006063C" w:rsidSect="00034616">
      <w:head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Invisible Habits, Visible Energy | Case Study Technical Report — KAJAN BIRLA.J (24MID0065)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