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after="150" w:line="240" w:lineRule="auto"/>
        <w:outlineLvl w:val="0"/>
        <w:rPr>
          <w:rFonts w:ascii="Georgia" w:eastAsia="Times New Roman" w:hAnsi="Georgia" w:cs="Times New Roman"/>
          <w:color w:val="212224"/>
          <w:kern w:val="36"/>
          <w:sz w:val="59"/>
          <w:szCs w:val="59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kern w:val="36"/>
          <w:sz w:val="59"/>
          <w:szCs w:val="59"/>
          <w:lang w:eastAsia="pl-PL"/>
        </w:rPr>
        <w:t>Sygnet - skalowanie procesu KYC poprzez bankowe poświadczenie tożsamości klienta</w:t>
      </w:r>
      <w:hyperlink r:id="rId5" w:anchor="sygnet-skalowanie-procesu-kyc-poprzez-bankowe-poswiadczenie-tozsamosci-klienta" w:tooltip="Permalink to this headline" w:history="1">
        <w:r w:rsidRPr="005E4D97">
          <w:rPr>
            <w:rFonts w:ascii="Georgia" w:eastAsia="Times New Roman" w:hAnsi="Georgia" w:cs="Times New Roman"/>
            <w:color w:val="C60F0F"/>
            <w:kern w:val="36"/>
            <w:sz w:val="47"/>
            <w:szCs w:val="47"/>
            <w:u w:val="single"/>
            <w:lang w:eastAsia="pl-PL"/>
          </w:rPr>
          <w:t>¶</w:t>
        </w:r>
      </w:hyperlink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Wersja 5.1 (22/05/2018)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Proponujemy rozwiązanie w zakresie KYC, które bazując na legislacji PSD2 umożliwia wykorzystanie, będącej w posiadaniu banku, informacji o tożsamości klienta. Skalowanie procesu KYC uzyskujemy poprzez, uzyskane od banku, kryptograficzne poświadczenie tożsamości klienta. Dzięki temu bank, oprócz świadczenia usług finansowych, jest w stanie radykalnie ułatwić swoim klientom proces weryfikacji KYC w sytuacji, gdy chcą oni skorzystać z usług innych podmiotów w branży FinTech (zarówno bankowych jak i niebankowych), a w dalszej konsekwencji, staje się dla nich generatorem ich cyfrowej tożsamości w Internecie.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DISCLAIMER: Niniejszy dokument jest tylko wstępnym zarysem pomysłu i na tym etapie należy go traktować jako jedynie tekst wizjonerski. W swojej obecnej formie nie wyczerpuje on wszystkich tematów, które będą wymagać analizy, zanim ostatecznie uznamy, że opisane rozwiązanie jest warte wdrożenia.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  <w:t>1. Wprowadzenie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1.1 Jak weryfikować tożsamość online?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Internetowa weryfikacja tożsamości to próba rozwiązania następującego problemu: w jaki sposób w warunkach online uzyskać pewność, że osoba (klient) podająca się jako K rzeczywiście jest tą osobą K?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Istotne jest tu to, że jest to sytuacja online, czyli </w:t>
      </w: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nie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w realu. W sytuacji kontaktu w realu dokument ze zdjęciem można uznać za wystarczająco dobry sposób weryfikacji tożsamości (mimo swoich oczywistych wad: jest kosztowny w produkcji i relatywnie łatwo może być podrobiony, zwłaszcza w przypadku, gdy nie wiemy jak dokładnie powinien wyglądać oryginalny dokument, np. dowód tożsamości obcokrajowca).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lastRenderedPageBreak/>
        <w:t>Z oczywistych powodów w warunkach online zdjęcie, które jest integralną częścią dokumentu tożsamości, przestaje być użyteczne, bo nie ma go z czym porównać.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1.2 Problem: nieskalowalność KYC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Wymogi KYC narzucają na firmy konieczność ustalenia tożsamości każdego nowego klienta.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Wszystkie obecne procedury KYC mają jedną istotną wadę: nie skalują się. Przy pozyskaniu nowego klienta każda firma, która podlega wymogom KYC, musi samodzielnie dokonać ustalenia jego tożsamości, co jest kosztowne (dla firmy) i czasochłonne (dla obu stron: firmy i jej klienta). Tak więc w obecnie istniejącym paradygmacie ten sam kosztowny i czasochłonny proces musi być wykonywany wielokrotnie przez kolejne firmy.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Jedynym znanym nam sposobem na skalowanie KYC jest wykorzystanie procedury tzw. testowego przelewu, który polega na tym, że klient poświadcza swoją tożsamość poprzez wykonanie przelewu ze swojego rachunku w innym banku do banku, który potrzebuje dokonać weryfikacji KYC. Oczywiste są wady tego rozwiązania:</w:t>
      </w:r>
    </w:p>
    <w:p w:rsidR="005E4D97" w:rsidRPr="005E4D97" w:rsidRDefault="005E4D97" w:rsidP="005E4D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nie rozwiązuje to problemu dla podmiotów niebankowych,</w:t>
      </w:r>
    </w:p>
    <w:p w:rsidR="005E4D97" w:rsidRPr="005E4D97" w:rsidRDefault="005E4D97" w:rsidP="005E4D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nie skaluje się więcej niż raz (bo nie można w ten sposób potwierdzić tożsamości w kolejnym banku),</w:t>
      </w:r>
    </w:p>
    <w:p w:rsidR="005E4D97" w:rsidRPr="005E4D97" w:rsidRDefault="005E4D97" w:rsidP="005E4D9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wymaga to od klienta dodatkowego wysiłku.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Niemniej tego rodzaju kombinowanie (tj. używanie przelewu bankowego do celów niefinansowych) pokazuje, że problem nieskalowalności KYC rzeczywiście istnieje.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Warty podkreślenia jest fakt, że outsourcing procesu KYC do specjalistycznej firmy, która się tym zajmuje, nie rozwiązuje problemu skalowania KYC. Nawet jeśli podmiot specjalizujący się w KYC dostanie zlecenie weryfikacji klienta K, którego wcześniej weryfikował dla innej firmy, to i tak cały proces KYC będzie musiał być uruchomiony od nowa, bo nie ma żadnego formalnego dowodu, że w obu przypadkach jest to rzeczywiście ten sam klient K.</w:t>
      </w:r>
    </w:p>
    <w:p w:rsidR="005E4D97" w:rsidRDefault="005E4D97">
      <w:pPr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br w:type="page"/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lastRenderedPageBreak/>
        <w:t>1.3 Co chcemy osiągnąć?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Szukamy rozwiązania dla procesu KYC, które:</w:t>
      </w:r>
    </w:p>
    <w:p w:rsidR="005E4D97" w:rsidRPr="005E4D97" w:rsidRDefault="005E4D97" w:rsidP="005E4D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umożliwi skalowanie procedury KYC, czyli wyeliminuje konieczność powtarzania tego procesu przez kolejne firmy,</w:t>
      </w:r>
    </w:p>
    <w:p w:rsidR="005E4D97" w:rsidRPr="005E4D97" w:rsidRDefault="005E4D97" w:rsidP="005E4D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będzie działać dla wszystkich firm, które podlegają wymogom KYC (tj. nie tylko dla podmiotów bankowych), a także dla firm które nie są prawnie zobligowane do KYC, ale chcą to robić dla własnych potrzeb,</w:t>
      </w:r>
    </w:p>
    <w:p w:rsidR="005E4D97" w:rsidRPr="005E4D97" w:rsidRDefault="005E4D97" w:rsidP="005E4D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będzie miało realną szansę na masową adopcję, zarówno po stronie biznesów jak i ich klientów,</w:t>
      </w:r>
    </w:p>
    <w:p w:rsidR="005E4D97" w:rsidRPr="005E4D97" w:rsidRDefault="005E4D97" w:rsidP="005E4D9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otworzy drogę na inne niż KYC zastosowania, w szczególności do rozpowszechnienia koncepcji cyfrowej tożsamości.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  <w:t>2. Skalowalny proces KYC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2.1 Założenia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Najogólniej mówiąc, skalowalny KYC polega na tym, że jeden podmiot (w naszym przypadku bank) przeprowadza weryfikację tożsamości danej osoby (klienta) K, a następnie wynik tej weryfikacji jest udostępniany innym podmiotom (bankowym i niebankowym).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Do konstrukcji skalowalnego KYC wykorzystujemy następujący zestaw założeń:</w:t>
      </w:r>
    </w:p>
    <w:p w:rsidR="005E4D97" w:rsidRPr="005E4D97" w:rsidRDefault="005E4D97" w:rsidP="005E4D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(niemal) każdy dorosły człowiek ma konto w banku,</w:t>
      </w:r>
    </w:p>
    <w:p w:rsidR="005E4D97" w:rsidRPr="005E4D97" w:rsidRDefault="005E4D97" w:rsidP="005E4D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każdy bank zna tożsamość każdego swojego klienta,</w:t>
      </w:r>
    </w:p>
    <w:p w:rsidR="005E4D97" w:rsidRPr="005E4D97" w:rsidRDefault="005E4D97" w:rsidP="005E4D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 ramach wprowadzonego przez PSD2 API możliwe jest wydobywanie z banku informacji dotyczących tożsamości danego klienta,</w:t>
      </w:r>
    </w:p>
    <w:p w:rsidR="005E4D97" w:rsidRPr="005E4D97" w:rsidRDefault="005E4D97" w:rsidP="005E4D9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każdy bank dysponuje </w:t>
      </w:r>
      <w:hyperlink r:id="rId6" w:history="1">
        <w:r w:rsidRPr="005E4D97">
          <w:rPr>
            <w:rFonts w:ascii="Georgia" w:eastAsia="Times New Roman" w:hAnsi="Georgia" w:cs="Times New Roman"/>
            <w:color w:val="770000"/>
            <w:sz w:val="26"/>
            <w:szCs w:val="26"/>
            <w:u w:val="single"/>
            <w:lang w:eastAsia="pl-PL"/>
          </w:rPr>
          <w:t>kwalifikowanym podpisem elektronicznym</w:t>
        </w:r>
      </w:hyperlink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i może go użyć do kryptograficznego podpisywania informacji przesyłanych poprzez API.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Naturalną konsekwencją wydaje się zatem istnienie możliwości zrobienia użytku z informacji o tożsamości klientów bankowych (tj. informacji, które banki i tak posiadają) w celu radykalnego usprawnienia procesu KYC.</w:t>
      </w:r>
    </w:p>
    <w:p w:rsidR="005E4D97" w:rsidRDefault="005E4D97">
      <w:pPr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br w:type="page"/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lastRenderedPageBreak/>
        <w:t>2.2 System Sygnet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 dalszej części niniejszego dokumentu opisujemy propozycję systemu o nazwie </w:t>
      </w: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Sygnet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, który realizuje koncepcję skalowania KYC przy wykorzystaniu konkluzji płynących z powyższych założeń.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Nazwa </w:t>
      </w: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Sygnet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w zamierzeniu kojarzyć się ma (zarówno w języku polskim jak i angielskim) z własnoręcznym podpisem i ma nawiązywać do czegoś, co służy do potwierdzania tożsamości użytkownika i autoryzacji różnego rodzaju działań.</w:t>
      </w:r>
    </w:p>
    <w:p w:rsidR="005E4D97" w:rsidRPr="005E4D97" w:rsidRDefault="005E4D97" w:rsidP="005E4D97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</w:pP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Signet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 - a small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seal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,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especially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 one set in a ring,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used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instead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 of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or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 with a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signature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 to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give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authentication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 to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an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official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 </w:t>
      </w:r>
      <w:proofErr w:type="spellStart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document</w:t>
      </w:r>
      <w:proofErr w:type="spellEnd"/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2.3 Koncepcja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System Sygnet osiąga skalowanie procesu KYC poprzez, uzyskane od banku, kryptograficzne poświadczenie tożsamości klienta. Poświadczenie to jest generowane za zgodą klienta przez jego bank i udostępniane naszemu systemowi poprzez bankowe API na mocy legislacji PSD2.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Oczywiście zakładamy tutaj, że system autoryzacji banku działa poprawnie, co oznacza, że tylko osoba która </w:t>
      </w: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jest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klientem K, może uzyskać od banku poświadczenie dotyczące tożsamości klienta K.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Patrząc z dwóch różnych perspektyw możemy powiedzieć, że:</w:t>
      </w:r>
    </w:p>
    <w:p w:rsidR="005E4D97" w:rsidRPr="005E4D97" w:rsidRDefault="005E4D97" w:rsidP="005E4D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Z punktu widzenia użytkownika aktywnego (tj. firmy F której obowiązkiem jest przeprowadzenie procesu KYC) system Sygnet umożliwia wykorzystanie do celów KYC podpisanego elektronicznie przez bank certyfikatu poświadczającego tożsamość klienta.</w:t>
      </w:r>
    </w:p>
    <w:p w:rsidR="005E4D97" w:rsidRPr="005E4D97" w:rsidRDefault="005E4D97" w:rsidP="005E4D9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Z punktu widzenia użytkownika pasywnego (tj. klienta K który jest obiektem KYC) system Sygnet umożliwia dostarczenie dowolnej firmie podpisanego elektronicznie przez bank certyfikatu poświadczającego jego tożsamość.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Oznacza to, że nasz pomysł w zakresie KYC sprowadza się </w:t>
      </w: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de facto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do tego: w kontrolowany sposób wyprowadzamy na zewnątrz informacje (tj. dane osobowe klienta), które do tej pory leżały bezużytecznie (z perspektywy świata zewnętrznego) w systemie bankowym. Dzięki temu bank, oprócz świadczenia usług finansowych, staje się generatorem cyfrowej tożsamości swoich klientów.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lastRenderedPageBreak/>
        <w:t>2.4 Forma działania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 swojej wersji podstawowej system Sygnet może być zrealizowany w formie prostej usługi webowej. W zakresie funkcjonalności interfejsu istotne jest jednak rozróżnienie między dwoma typami użytkowników:</w:t>
      </w:r>
    </w:p>
    <w:p w:rsidR="005E4D97" w:rsidRPr="005E4D97" w:rsidRDefault="005E4D97" w:rsidP="005E4D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Dla użytkownika aktywnego (tj. firma F) potrzebny będzie bardziej rozbudowany interfejs stwarzający możliwość stworzenia konta w naszym systemie.</w:t>
      </w:r>
    </w:p>
    <w:p w:rsidR="005E4D97" w:rsidRPr="005E4D97" w:rsidRDefault="005E4D97" w:rsidP="005E4D9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Dla użytkownika pasywnego (tj. klient K) wystarczy prosty interfejs o nieograniczonym dostępie, tj. nie wymagający zakładania konta i logowania. Możliwe jest stworzenie do tego celu dedykowanej aplikacji mobilnej, ale dla potrzeb MVP prawdopodobnie nie będzie to konieczne.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2.5 Wymagania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Aby system Sygnet mógł poprawnie funkcjonować potrzebne jest spełnienie następujących warunków:</w:t>
      </w:r>
    </w:p>
    <w:p w:rsidR="005E4D97" w:rsidRPr="005E4D97" w:rsidRDefault="005E4D97" w:rsidP="005E4D97">
      <w:pPr>
        <w:numPr>
          <w:ilvl w:val="0"/>
          <w:numId w:val="22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Wymagane jest żeby nasz partner bankowy zgodził się kryptograficznie podpisywać informacje udostępniane w ramach wprowadzonego przez PSD2 API (w szczególności chodzi nam o dane osobowe klienta). Tak więc wymaganą inwestycją ze strony banku jest dostarczenie dodatkowej, tj. nie wymaganej przez PSD2, funkcjonalności w swoim API.</w:t>
      </w:r>
    </w:p>
    <w:p w:rsidR="005E4D97" w:rsidRPr="005E4D97" w:rsidRDefault="005E4D97" w:rsidP="005E4D97">
      <w:pPr>
        <w:numPr>
          <w:ilvl w:val="0"/>
          <w:numId w:val="22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Aby system mógł być realnie użyteczny w zakresie KYC, docelowo powinno w nim uczestniczyć co najmniej kliku partnerów bankowych. Potrzebne więc będzie wystandaryzowanie procesu tak, żeby firma F otrzymywała dane KYC w jednolitym formacie niezależnie od instancji banku, który jest ich źródłem.</w:t>
      </w:r>
    </w:p>
    <w:p w:rsidR="005E4D97" w:rsidRPr="005E4D97" w:rsidRDefault="005E4D97" w:rsidP="005E4D97">
      <w:pPr>
        <w:numPr>
          <w:ilvl w:val="0"/>
          <w:numId w:val="22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Integralną częścią naszej aplikacji musi być możliwość weryfikacji certyfikowanego podpisu elektronicznego banku, tak żeby firma F mogła w łatwy sposób uzyskać pewność, że otrzymane od banku B informacje na temat klienta K rzeczywiście zostały przez ten bank wygenerowane i nie zostały zmodyfikowane po ich podpisaniu. Jest to funkcjonalność podobna do tej, która jest oferowana przez powszechnie dostępne serwisy internetowe, np. </w:t>
      </w:r>
      <w:hyperlink r:id="rId7" w:history="1">
        <w:r w:rsidRPr="005E4D97">
          <w:rPr>
            <w:rFonts w:ascii="Georgia" w:eastAsia="Times New Roman" w:hAnsi="Georgia" w:cs="Times New Roman"/>
            <w:color w:val="770000"/>
            <w:sz w:val="26"/>
            <w:szCs w:val="26"/>
            <w:u w:val="single"/>
            <w:lang w:eastAsia="pl-PL"/>
          </w:rPr>
          <w:t>MadKom</w:t>
        </w:r>
      </w:hyperlink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.</w:t>
      </w:r>
    </w:p>
    <w:p w:rsidR="005E4D97" w:rsidRPr="005E4D97" w:rsidRDefault="005E4D97" w:rsidP="005E4D97">
      <w:pPr>
        <w:numPr>
          <w:ilvl w:val="0"/>
          <w:numId w:val="22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 xml:space="preserve">Ponieważ my, jako twórcy i operatorzy aplikacji mobilnej będącej w posiadaniu klienta K, pełnimy rolę TPP (Third Party Provider), musimy być podmiotem zarejestrowanym w KNF zgodnie z wymaganiami PSD2. 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lastRenderedPageBreak/>
        <w:t>Wydaje się, że licencja AIS (Account Information Service) w tym przypadku będzie wystarczająca.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2.6 Schemat procesu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Załóżmy, że firma F potrzebuje dokonać weryfikacji KYC klienta K i ma zaufanie do banku B, tj. podpisane elektronicznie oświadczenie banku B w zakresie tożsamości klienta K uznaje za prawdziwe.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Wtedy proces KYC w systemie Sygnet może wyglądać następująco:</w:t>
      </w:r>
    </w:p>
    <w:p w:rsidR="005E4D97" w:rsidRPr="005E4D97" w:rsidRDefault="005E4D97" w:rsidP="005E4D97">
      <w:pPr>
        <w:numPr>
          <w:ilvl w:val="0"/>
          <w:numId w:val="23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Klient K zainteresowany skorzystaniem z usług firmy F, potwierdza, że ma konto w banku, który jest wspierany przez system Sygnet i wybiera ten system jako mechanizm weryfikacji tożsamości w procesie KYC.</w:t>
      </w:r>
    </w:p>
    <w:p w:rsidR="005E4D97" w:rsidRPr="005E4D97" w:rsidRDefault="005E4D97" w:rsidP="005E4D97">
      <w:pPr>
        <w:numPr>
          <w:ilvl w:val="0"/>
          <w:numId w:val="23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Klient K jest przekierowany na stronę webową systemu Sygnet. Przekierowanie zawiera wygenerowany przez firmę F unikalny identyfikator ID, którego rolą jest uwiarygodnienie niniejszego procesu z punktu widzenia firmy F: uzyska ona w ten sposób pewność, że odpowiedź banku B zostanie wygenerowana specjalnie dla tej konkretnej sytuacji.</w:t>
      </w:r>
    </w:p>
    <w:p w:rsidR="005E4D97" w:rsidRPr="005E4D97" w:rsidRDefault="005E4D97" w:rsidP="005E4D97">
      <w:pPr>
        <w:numPr>
          <w:ilvl w:val="0"/>
          <w:numId w:val="23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 ramach systemu Sygnet klient K loguje się do swojego banku B, a następnie autoryzuje wygenerowane przez system Sygnet zapytanie do bankowego API. Zapytanie to dotyczy danych osobowych klienta K, które są wymagane w procesie weryfikacji KYC, a także zawiera wyżej opisany identyfikator ID.</w:t>
      </w:r>
    </w:p>
    <w:p w:rsidR="005E4D97" w:rsidRPr="005E4D97" w:rsidRDefault="005E4D97" w:rsidP="005E4D97">
      <w:pPr>
        <w:numPr>
          <w:ilvl w:val="0"/>
          <w:numId w:val="23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 odpowiedzi na wyżej opisane zapytanie, bank B zwraca podpisany elektronicznie pakiet zawierający i łączący w jedną całość wymagane w KYC dane osobowe klienta oraz wyżej opisany identyfikator ID.</w:t>
      </w:r>
    </w:p>
    <w:p w:rsidR="005E4D97" w:rsidRPr="005E4D97" w:rsidRDefault="005E4D97" w:rsidP="005E4D97">
      <w:pPr>
        <w:numPr>
          <w:ilvl w:val="0"/>
          <w:numId w:val="23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Po weryfikacji podpisu banku B i identyfikatora ID firma F uznaje uzyskane od banku dane osobowe klienta K za prawdziwe i aktualne, i tym samym spełniające kryteria KYC.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2.7 Ochrona przed nieautoryzowanym rozpowszechnianiem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Nasuwa się pytanie, czy firma F po uzyskaniu kryptograficznie podpisanego pakietu informacji KYC od banku B nie przekaże go kolejnej firmie, negując tym samym jej motywację do korzystania z naszego systemu.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Możliwe jest zmodyfikowanie powyższego schematu działania w taki sposób, aby zapobiec tego rodzaju nadużyciu.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lastRenderedPageBreak/>
        <w:t>Zmodyfikowany proces mógłby wyglądać następująco:</w:t>
      </w:r>
    </w:p>
    <w:p w:rsidR="005E4D97" w:rsidRPr="005E4D97" w:rsidRDefault="005E4D97" w:rsidP="005E4D97">
      <w:pPr>
        <w:numPr>
          <w:ilvl w:val="0"/>
          <w:numId w:val="24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Oprócz unikalnego identyfikatora ID, firma F wysyła do systemu Sygnet swój klucz publiczny.</w:t>
      </w:r>
    </w:p>
    <w:p w:rsidR="005E4D97" w:rsidRPr="005E4D97" w:rsidRDefault="005E4D97" w:rsidP="005E4D97">
      <w:pPr>
        <w:numPr>
          <w:ilvl w:val="0"/>
          <w:numId w:val="24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Zarówno identyfikator ID jak i klucz publiczny firmy F są przekazywane do banku B, który generuje pakiet KYC w sposób opisany powyżej, ale przed podpisaniem go własnym kluczem, szyfruje go kluczem publicznym firmy F.</w:t>
      </w:r>
    </w:p>
    <w:p w:rsidR="005E4D97" w:rsidRPr="005E4D97" w:rsidRDefault="005E4D97" w:rsidP="005E4D97">
      <w:pPr>
        <w:numPr>
          <w:ilvl w:val="0"/>
          <w:numId w:val="24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Firma F po otrzymaniu pakietu jest w stanie go odkodować i zweryfikować prawdziwość zawartych w nim danych.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Tym samym przekazanie przez firmę F otrzymanego od banku pakietu KYC innej firmie przestaje mieć sens, bo wymagałoby to także ujawnienia swojego klucza prywatnego umożliwiającego jego rozkodowanie, do czego firma F nie będzie skłonna.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  <w:t>3. Kierunki potencjalnego rozwoju systemu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3.1 Podpis cyfrowy niewymagający klucza prywatnego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Zauważmy, że zaprezentowany powyżej schemat systemu Sygnet można opisać w sposób następujący: klient K przekazuje do banku B dowolny ciąg znaków (np. wygenerowany przez firmę F identyfikator ID), a bank B zwraca, podpisany kryptograficznie swoim kluczem prywatnym, pakiet zawierający i łączący w jedną całość dwa elementy:</w:t>
      </w:r>
    </w:p>
    <w:p w:rsidR="005E4D97" w:rsidRPr="005E4D97" w:rsidRDefault="005E4D97" w:rsidP="005E4D9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dane osobowe klienta K, które pozwalają na jego jednoznaczną identyfikację (np. imię, nazwisko, nr dowodu osobistego albo PESEL),</w:t>
      </w:r>
    </w:p>
    <w:p w:rsidR="005E4D97" w:rsidRPr="005E4D97" w:rsidRDefault="005E4D97" w:rsidP="005E4D9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wyżej wspomniany ciąg znaków w formie nienaruszonej.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 xml:space="preserve">Łatwo jest zauważyć, że zamiast identyfikatora ID, który jest niczym innym niż losowym (i przez to unikalnym) ciągiem znaków, moglibyśmy użyć ciągu znaków, który jest nielosowy i przez to może być nośnikiem jakiegoś znaczenia, w szczególności być </w:t>
      </w:r>
      <w:proofErr w:type="spellStart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hashem</w:t>
      </w:r>
      <w:proofErr w:type="spellEnd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 xml:space="preserve"> dowolnego dokumentu, np. oświadczenia woli albo umowy cywilno-prawnej.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 xml:space="preserve">Idąc tym tropem widzimy, że system Sygnet może nie tylko służyć do skalowania procesu KYC, ale także funkcjonować jako ogólny mechanizm podpisywania przez bank w imieniu swojego klienta (i na jego żądanie) 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lastRenderedPageBreak/>
        <w:t>dowolnego dokumentu. (W rzeczywistości podpisywany jest hash dokumentu, a nie sam dokument, ale z punktu widzenia kryptografii efekt jest ten sam).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Oznacza to, że pod względem kryptograficznej wiarygodności uzyskujemy </w:t>
      </w: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de facto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ten sam efekt, który mielibyśmy, gdyby klient K używał swojego własnego certyfikowanego podpisu elektronicznego, a podmiotem certyfikującym ten podpis byłby jego bank.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Efekt jest ten sam, jednak z punktu widzenia </w:t>
      </w:r>
      <w:proofErr w:type="spellStart"/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user</w:t>
      </w:r>
      <w:proofErr w:type="spellEnd"/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 xml:space="preserve"> </w:t>
      </w:r>
      <w:proofErr w:type="spellStart"/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experience</w:t>
      </w:r>
      <w:proofErr w:type="spellEnd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uzyskujemy istotny atut: w naszym podejściu nie wymagamy, aby użytkownik posiadał i dbał o klucz prywatny (co jest istotą podpisu elektronicznego), bo w naszym schemacie to </w:t>
      </w:r>
      <w:r w:rsidRPr="005E4D97">
        <w:rPr>
          <w:rFonts w:ascii="Georgia" w:eastAsia="Times New Roman" w:hAnsi="Georgia" w:cs="Times New Roman"/>
          <w:b/>
          <w:bCs/>
          <w:color w:val="3E4349"/>
          <w:sz w:val="26"/>
          <w:szCs w:val="26"/>
          <w:lang w:eastAsia="pl-PL"/>
        </w:rPr>
        <w:t>bank podpisuje się swoim kluczem prywatnym w imieniu i na żądanie klienta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Oczywistą konsekwencją powyższego rozwiązania jest to, że bank może uzurpować sobie tożsamość klienta (tj. podpisać się pod czymkolwiek za niego bez jego wiedzy), ale taki jest nieusuwalny </w:t>
      </w: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trade-off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tego rodzaju rozwiązania. Zdejmujemy z użytkownika obowiązek troski o klucz prywatny, ale odbywa się to kosztem konieczności zwiększonego zaufania do banku.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Możemy jednak przyjąć, że tego rodzaju </w:t>
      </w: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trade-off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ma sens, ponieważ fundamentem działalności bankowej tak czy inaczej jest zaufanie klienta.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3.2 Klucz prywatny certyfikowany przez bank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Gdybyśmy jednak chcieli usunąć powyższy </w:t>
      </w: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trade-off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, system Sygnet w wersji “pro” mógłby mieć funkcjonalność pozwalającą na:</w:t>
      </w:r>
    </w:p>
    <w:p w:rsidR="005E4D97" w:rsidRPr="005E4D97" w:rsidRDefault="005E4D97" w:rsidP="005E4D9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wygenerowanie dla klienta K unikalnego klucza prywatnego i odpowiadającego mu klucza publicznego,</w:t>
      </w:r>
    </w:p>
    <w:p w:rsidR="005E4D97" w:rsidRPr="005E4D97" w:rsidRDefault="005E4D97" w:rsidP="005E4D9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uzyskanie od banku B elektronicznie podpisanego certyfikatu, który połączyłby w jedną całość tożsamość klienta K z jego kluczem publicznym.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Posiadając taki bankowy certyfikat, klient K w ramach systemu Sygnet mógłby posługiwać się swoim kluczem prywatnym w analogiczny sposób do posługiwania się certyfikowanym podpisem elektronicznym - oczywiście przy założeniu, że uznamy podmiot bankowy za wiarygodne źródło certyfikacji tego podpisu.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 xml:space="preserve">Założenie to oczywiście nie spełnia wymogów ustawy o kwalifikowanym podpisie elektronicznym, ale w praktyce biznesowej niewątpliwie jest to 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lastRenderedPageBreak/>
        <w:t>bardziej wiarygodne podejście niż np. metoda oferowana przez </w:t>
      </w:r>
      <w:proofErr w:type="spellStart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fldChar w:fldCharType="begin"/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instrText xml:space="preserve"> HYPERLINK "https://www.docusign.com/" </w:instrTex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fldChar w:fldCharType="separate"/>
      </w:r>
      <w:r w:rsidRPr="005E4D97">
        <w:rPr>
          <w:rFonts w:ascii="Georgia" w:eastAsia="Times New Roman" w:hAnsi="Georgia" w:cs="Times New Roman"/>
          <w:color w:val="770000"/>
          <w:sz w:val="26"/>
          <w:szCs w:val="26"/>
          <w:u w:val="single"/>
          <w:lang w:eastAsia="pl-PL"/>
        </w:rPr>
        <w:t>DocuSign</w:t>
      </w:r>
      <w:proofErr w:type="spellEnd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fldChar w:fldCharType="end"/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lub </w:t>
      </w:r>
      <w:proofErr w:type="spellStart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fldChar w:fldCharType="begin"/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instrText xml:space="preserve"> HYPERLINK "https://autenti.com/" </w:instrTex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fldChar w:fldCharType="separate"/>
      </w:r>
      <w:r w:rsidRPr="005E4D97">
        <w:rPr>
          <w:rFonts w:ascii="Georgia" w:eastAsia="Times New Roman" w:hAnsi="Georgia" w:cs="Times New Roman"/>
          <w:color w:val="770000"/>
          <w:sz w:val="26"/>
          <w:szCs w:val="26"/>
          <w:u w:val="single"/>
          <w:lang w:eastAsia="pl-PL"/>
        </w:rPr>
        <w:t>Autenti</w:t>
      </w:r>
      <w:proofErr w:type="spellEnd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fldChar w:fldCharType="end"/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, bo nie jest ono uzależnione od istnienia (i uczciwości) scentralizowanego pośrednika.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3.3 Autoryzacja w PSD2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Idąc dalej, w wyżej opisanej wersji “pro” (tzn. gdy klient ma swój własny klucz prywatny certyfikowany przez bank), możliwe staje się stworzenie niezależnego kanału autoryzacji dla transakcji bankowych, zgodnie z wymogami PSD2.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Podpisana przez klienta jego kluczem prywatnym zgoda na wykonanie konkretnego przelewu jest doskonałą alternatywą dla powszechnie stosowanej autoryzacji poprzez esemes.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Metoda ta ma też dodatkową zaletę w postaci możliwości bezpiecznego delegowania na inne osoby uprawnień w zakresie autoryzacji transakcji bankowych. Co więcej, autoryzacja poprzez klucz prywatny ma zastosowanie nie tylko w bankowości - może być stosowana wszędzie tam, gdzie użytkownik chce mieć pełną kontrolę nad swoją tożsamością (i związaną z nią reputacją), tak jak to np. zostało opisane w projekcie </w:t>
      </w:r>
      <w:proofErr w:type="spellStart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fldChar w:fldCharType="begin"/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instrText xml:space="preserve"> HYPERLINK "https://jolocom.com/" </w:instrTex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fldChar w:fldCharType="separate"/>
      </w:r>
      <w:r w:rsidRPr="005E4D97">
        <w:rPr>
          <w:rFonts w:ascii="Georgia" w:eastAsia="Times New Roman" w:hAnsi="Georgia" w:cs="Times New Roman"/>
          <w:color w:val="770000"/>
          <w:sz w:val="26"/>
          <w:szCs w:val="26"/>
          <w:u w:val="single"/>
          <w:lang w:eastAsia="pl-PL"/>
        </w:rPr>
        <w:t>Jolocom</w:t>
      </w:r>
      <w:proofErr w:type="spellEnd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fldChar w:fldCharType="end"/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3.4 Weryfikacja unikalności użytkownika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Istnieje mnóstwo biznesów (np. sieci społecznościowe), które nie podlegają wymogom KYC, ale mają następujący problem: jak skutecznie ograniczyć możliwość zakładania przez użytkowników fikcyjnych kont?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Wydaje się oczywiste, że system Sygnet mógłby być przydatny w tym zakresie i prawdopodobnie znacznie bardziej skuteczny niż tradycyjna metoda polegająca na weryfikacji dostępu do konta mailowego lub numeru telefonicznego. Unikalna tożsamość poświadczona przez bank ma niewątpliwie większą wiarygodność niż jakakolwiek inna metoda.</w:t>
      </w:r>
    </w:p>
    <w:p w:rsidR="005E4D97" w:rsidRDefault="005E4D97">
      <w:pPr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</w:pPr>
      <w:r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  <w:br w:type="page"/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</w:pPr>
      <w:bookmarkStart w:id="0" w:name="_GoBack"/>
      <w:bookmarkEnd w:id="0"/>
      <w:r w:rsidRPr="005E4D97"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  <w:lastRenderedPageBreak/>
        <w:t>4. Alternatywne rozwiązania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4.1 Profil zaufany (</w:t>
      </w:r>
      <w:proofErr w:type="spellStart"/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ePUAP</w:t>
      </w:r>
      <w:proofErr w:type="spellEnd"/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t>)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Wedle </w:t>
      </w:r>
      <w:hyperlink r:id="rId8" w:history="1">
        <w:r w:rsidRPr="005E4D97">
          <w:rPr>
            <w:rFonts w:ascii="Georgia" w:eastAsia="Times New Roman" w:hAnsi="Georgia" w:cs="Times New Roman"/>
            <w:color w:val="770000"/>
            <w:sz w:val="26"/>
            <w:szCs w:val="26"/>
            <w:u w:val="single"/>
            <w:lang w:eastAsia="pl-PL"/>
          </w:rPr>
          <w:t>dokumentacji</w:t>
        </w:r>
      </w:hyperlink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Ministerstwa Cyfryzacji profil zaufany to bezpłatna metoda potwierdzania tożsamości obywatela w systemach elektronicznej administracji.</w:t>
      </w:r>
    </w:p>
    <w:p w:rsidR="005E4D97" w:rsidRPr="005E4D97" w:rsidRDefault="005E4D97" w:rsidP="005E4D97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Profil zaufany działa jak odręczny podpis. Możesz dzięki niemu wysyłać przez Internet dokumenty i wnioski do różnych urzędów (np. wnieść podanie, odwołanie, skargę). Profil zaufany potwierdza tożsamość obywatela. Podpis potwierdzony profilem zaufanym, podobnie jak kwalifikowany podpis elektroniczny, skutecznie zastępuje w kontaktach z podmiotami publicznymi podpis własnoręczny.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Na pierwszy rzut oka profil zaufany wygląda na rozwiązanie bardzo podobne do naszego. Co więcej, podobnie jak w naszym podejściu jednym z podmiotów zdolnych do wygenerowania takiego profilu dla użytkownika jest serwis bankowy. Kilka banków w Polsce oferuje taką usługę.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Jest jednak istotna różnica: zastosowanie profilu zaufanego jest ograniczone do serwisów państwowych. Ograniczenie to wynika ze sposobu działania tego systemu: polega on na tym, że po założeniu profilu zaufanego użytkownik uzyskuje dostęp do wspólnego dla systemów państwowych mechanizmu logowania, lecz nie jest to równoważne z uzyskaniem uniwersalnej cyfrowej tożsamości. Tak więc profil zaufany z założenia nie może być rozszerzony na sferę niepaństwową i tym samym nie rozwiązuje problemu KYC dla firm.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Opinię tę potwierdza </w:t>
      </w:r>
      <w:hyperlink r:id="rId9" w:history="1">
        <w:r w:rsidRPr="005E4D97">
          <w:rPr>
            <w:rFonts w:ascii="Georgia" w:eastAsia="Times New Roman" w:hAnsi="Georgia" w:cs="Times New Roman"/>
            <w:color w:val="770000"/>
            <w:sz w:val="26"/>
            <w:szCs w:val="26"/>
            <w:u w:val="single"/>
            <w:lang w:eastAsia="pl-PL"/>
          </w:rPr>
          <w:t>poniższa interpretacja</w:t>
        </w:r>
      </w:hyperlink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Polskiej Izby Informatyki i Telekomunikacji:</w:t>
      </w:r>
    </w:p>
    <w:p w:rsidR="005E4D97" w:rsidRPr="005E4D97" w:rsidRDefault="005E4D97" w:rsidP="005E4D97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Administracja publiczna nie umożliwia korzystania z Profilu Zaufanego przez podmioty komercyjne i nie daje żadnych gwarancji dotyczących jego wiarygodności w zakresie usług komercyjnych.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Niemniej porównanie naszego rozwiązania do profilu zaufanego wydaje się jak najbardziej uzasadnione. Można nawet powiedzieć, że nasz system oferuje biznesom rozwiązanie w zakresie KYC analogiczne do tego, jakie profil zaufany oferuje urzędom państwowym w zakresie mechanizmu weryfikacji tożsamości obywatela w warunkach online.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2"/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33"/>
          <w:szCs w:val="33"/>
          <w:lang w:eastAsia="pl-PL"/>
        </w:rPr>
        <w:lastRenderedPageBreak/>
        <w:t>4.2 Krajowy Węzeł Identyfikacji Elektronicznej (KWIE)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Wedle </w:t>
      </w:r>
      <w:hyperlink r:id="rId10" w:history="1">
        <w:r w:rsidRPr="005E4D97">
          <w:rPr>
            <w:rFonts w:ascii="Georgia" w:eastAsia="Times New Roman" w:hAnsi="Georgia" w:cs="Times New Roman"/>
            <w:color w:val="770000"/>
            <w:sz w:val="26"/>
            <w:szCs w:val="26"/>
            <w:u w:val="single"/>
            <w:lang w:eastAsia="pl-PL"/>
          </w:rPr>
          <w:t>dostępnej dokumentacji</w:t>
        </w:r>
      </w:hyperlink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 xml:space="preserve"> Krajowy Węzeł Identyfikacji Elektronicznej (KWIE) to planowany system identyfikacji elektronicznej integrujący środki identyfikacji wystawiane przez podmioty komercyjne (np. banki) dla potrzeb podmiotów świadczących </w:t>
      </w:r>
      <w:proofErr w:type="spellStart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online’owe</w:t>
      </w:r>
      <w:proofErr w:type="spellEnd"/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 xml:space="preserve"> usługi publiczne i niepubliczne.</w:t>
      </w:r>
    </w:p>
    <w:p w:rsidR="005E4D97" w:rsidRPr="005E4D97" w:rsidRDefault="005E4D97" w:rsidP="005E4D97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KWIE umożliwiał będzie uwierzytelnienie użytkowników systemów teleinformatycznych korzystających z usług online podmiotów publicznych, z wykorzystaniem środka identyfikacji elektronicznej wydanego w krajowym systemie identyfikacji elektronicznej przyłączonym do tego węzła.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Podobnie jak w systemie Sygnet, głównym celem KWIE jest stworzenie pomostu między dawcami i biorcami informacji służącej do weryfikacji tożsamości:</w:t>
      </w:r>
    </w:p>
    <w:p w:rsidR="005E4D97" w:rsidRPr="005E4D97" w:rsidRDefault="005E4D97" w:rsidP="005E4D97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KWIE został przewidziany jako rozwiązanie organizacyjno-techniczne, łączące z jednej strony platformy, na których udostępniane są usługi publiczne i niepubliczne, a z drugiej systemy identyfikacji elektronicznej, w ramach których wydawane będą środki identyfikacji elektronicznej oraz węzeł transgraniczny.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Wygląda na to, że KWIE jest rozwiązaniem typu </w:t>
      </w:r>
      <w:proofErr w:type="spellStart"/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permissioned</w:t>
      </w:r>
      <w:proofErr w:type="spellEnd"/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 xml:space="preserve"> system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, bo podmioty uczestniczące po obu stronach (czyli dawcy i biorcy informacji) muszą spełnić dość ostre kryteria opisane w ustawie. Powody wysokich wymagań dla dawców są dość jasne: trzeba mieć pewność, że dostarczana przez nich identyfikacja tożsamości jest wiarygodna. Wymogi po stronie biorców są równie wysokie, jednak ich zasadność jest dużo mniej oczywista:</w:t>
      </w:r>
    </w:p>
    <w:p w:rsidR="005E4D97" w:rsidRPr="005E4D97" w:rsidRDefault="005E4D97" w:rsidP="005E4D97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 xml:space="preserve">System, w którym udostępniane są publiczne lub niepubliczne usługi online będzie mógł być przyłączony do węzła krajowego po zapewnieniu przez podmiot odpowiedzialny za ten system opracowania i ustanawiania, wdrażania i eksploatowania, monitorowania i przeglądania oraz utrzymywania i doskonalenia systemu zarządzania bezpieczeństwem informacji zgodnie z wymogami określonymi w przepisach wydanych na podstawie art. 18 ustawy z dnia 17 lutego 2005 r. o informatyzacji działalności podmiotów realizujących zadania publiczne, po przeprowadzeniu testów integracyjnych zakończonych wynikiem pozytywnym, potwierdzających interoperacyjność tych systemów z węzłem krajowym, oraz po złożeniu przez podmiot wnioskujący oświadczenia, że będzie on działał zgodnie z przepisami o ochronie danych osobowych. Minister właściwy do spraw informatyzacji przed wydaniem decyzji o przyłączeniu tych systemów może sprawdzać spełnianie wyżej wspomnianych wymagań. W przypadku niespełniania wyżej wspomnianych wymagań wydaje </w:t>
      </w:r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lastRenderedPageBreak/>
        <w:t>decyzję o odmowie przyłączenia do węzła krajowego systemu, w którym udostępniane są usługi online, nie zostanie udzielona.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Niejasny jest też model ekonomiczny systemu. Z jednej strony system </w:t>
      </w:r>
      <w:hyperlink r:id="rId11" w:history="1">
        <w:r w:rsidRPr="005E4D97">
          <w:rPr>
            <w:rFonts w:ascii="Georgia" w:eastAsia="Times New Roman" w:hAnsi="Georgia" w:cs="Times New Roman"/>
            <w:color w:val="770000"/>
            <w:sz w:val="26"/>
            <w:szCs w:val="26"/>
            <w:u w:val="single"/>
            <w:lang w:eastAsia="pl-PL"/>
          </w:rPr>
          <w:t>jest prezentowany</w:t>
        </w:r>
      </w:hyperlink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jako całkowicie bezpłatny:</w:t>
      </w:r>
    </w:p>
    <w:p w:rsidR="005E4D97" w:rsidRPr="005E4D97" w:rsidRDefault="005E4D97" w:rsidP="005E4D97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Wszystkie podmioty świadczące usługę identyfikacji będą ją udostępniały na rzecz administracji publicznej bezpłatnie i nie będą pobierały opłaty za korzystanie z identyfikacji przez obywateli w usługach publicznych.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Jednak z drugiej strony nie jest jasne, jaka jest przewidywana motywacja dla dawcy tożsamości do uczestniczenia w systemie (i tym samym poddania się rygorowi ostrych kryteriów) oraz jaki jest planowany mechanizm rozliczeń między komercyjnymi biorcami i dawcami, mimo </w:t>
      </w:r>
      <w:hyperlink r:id="rId12" w:history="1">
        <w:r w:rsidRPr="005E4D97">
          <w:rPr>
            <w:rFonts w:ascii="Georgia" w:eastAsia="Times New Roman" w:hAnsi="Georgia" w:cs="Times New Roman"/>
            <w:color w:val="770000"/>
            <w:sz w:val="26"/>
            <w:szCs w:val="26"/>
            <w:u w:val="single"/>
            <w:lang w:eastAsia="pl-PL"/>
          </w:rPr>
          <w:t>przewidywań</w:t>
        </w:r>
      </w:hyperlink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, że takie przepływy finansowe będą miały miejsce:</w:t>
      </w:r>
    </w:p>
    <w:p w:rsidR="005E4D97" w:rsidRPr="005E4D97" w:rsidRDefault="005E4D97" w:rsidP="005E4D97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Opłaty za usługi komercyjnej identyfikacji będą ponosiły podmioty komercyjne wykorzystujące ją w swoich usługach.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Podsumowując, KWIE </w:t>
      </w:r>
      <w:hyperlink r:id="rId13" w:history="1">
        <w:r w:rsidRPr="005E4D97">
          <w:rPr>
            <w:rFonts w:ascii="Georgia" w:eastAsia="Times New Roman" w:hAnsi="Georgia" w:cs="Times New Roman"/>
            <w:color w:val="770000"/>
            <w:sz w:val="26"/>
            <w:szCs w:val="26"/>
            <w:u w:val="single"/>
            <w:lang w:eastAsia="pl-PL"/>
          </w:rPr>
          <w:t>jest prezentowany</w:t>
        </w:r>
      </w:hyperlink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jako dość jednostronne zaspokojenie potrzeb administracji publicznej bez klarownie zdefiniowanych korzyści dla sektora komercyjnego:</w:t>
      </w:r>
    </w:p>
    <w:p w:rsidR="005E4D97" w:rsidRPr="005E4D97" w:rsidRDefault="005E4D97" w:rsidP="005E4D97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777777"/>
          <w:sz w:val="26"/>
          <w:szCs w:val="26"/>
          <w:lang w:eastAsia="pl-PL"/>
        </w:rPr>
        <w:t>W ramach funkcjonowania krajowego systemu identyfikacji elektronicznej dostawcy tożsamości nie uzyskują danych z systemów administracji publicznej, tylko administracja publiczna korzysta z danych będących w posiadaniu komercyjnych dostawców tożsamości.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 tym świetle szansą Sygnetu jest dostarczenie systemu, który:</w:t>
      </w:r>
    </w:p>
    <w:p w:rsidR="005E4D97" w:rsidRPr="005E4D97" w:rsidRDefault="005E4D97" w:rsidP="005E4D9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specjalizuje się w zaspokojeniu potrzeb podmiotów komercyjnych (w odróżnieniu od potrzeb administracji publicznej, do czego będzie zapewne grawitował KWIE),</w:t>
      </w:r>
    </w:p>
    <w:p w:rsidR="005E4D97" w:rsidRPr="005E4D97" w:rsidRDefault="005E4D97" w:rsidP="005E4D9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jest znacznie bardziej zrównoważony w zakresie zapewnienia obopólnych korzyści zarówno dla dawców jak i biorców informacji.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  <w:t>5. Uzasadnienie przydatności systemu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System Sygnet ma szansę być postrzeganym jako sytuacja typu </w:t>
      </w:r>
      <w:r w:rsidRPr="005E4D97">
        <w:rPr>
          <w:rFonts w:ascii="Georgia" w:eastAsia="Times New Roman" w:hAnsi="Georgia" w:cs="Times New Roman"/>
          <w:i/>
          <w:iCs/>
          <w:color w:val="3E4349"/>
          <w:sz w:val="26"/>
          <w:szCs w:val="26"/>
          <w:lang w:eastAsia="pl-PL"/>
        </w:rPr>
        <w:t>win-win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 dla wszystkich interesowanych, ponieważ:</w:t>
      </w:r>
    </w:p>
    <w:p w:rsidR="005E4D97" w:rsidRPr="005E4D97" w:rsidRDefault="005E4D97" w:rsidP="005E4D97">
      <w:pPr>
        <w:numPr>
          <w:ilvl w:val="0"/>
          <w:numId w:val="28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 xml:space="preserve">Dostarczamy bankom możliwość monetyzowania informacji o tożsamości ich klientów, z wykorzystaniem mechanizmów autoryzacji, które zgodnie z 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lastRenderedPageBreak/>
        <w:t>PSD2 muszą zostać dostarczone na potrzeby TPP. Dodatkową korzyścią dla banków jest możliwość dostarczenia nowego typu usługi dla swoich klientów: oprócz oferowania im usług stricte finansowych bank może stać się generatorem ich cyfrowej tożsamości w Internecie.</w:t>
      </w:r>
    </w:p>
    <w:p w:rsidR="005E4D97" w:rsidRPr="005E4D97" w:rsidRDefault="005E4D97" w:rsidP="005E4D97">
      <w:pPr>
        <w:numPr>
          <w:ilvl w:val="0"/>
          <w:numId w:val="28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Dostarczamy wszystkim podmiotom, których biznes podlega wymogom KYC, mechanizm szybkiej weryfikacji tożsamości klientów. Jego użycie przede wszystkim radyklanie zredukuje problemy związane z procesem KYC, a także istotnie skróci czas, jaki upływa od momentu zainteresowania klienta ofertą do momentu faktycznej sprzedaży towaru lub usługi, eliminując tym samym okazję do rozmyślenia się przed zakupem.</w:t>
      </w:r>
    </w:p>
    <w:p w:rsidR="005E4D97" w:rsidRPr="005E4D97" w:rsidRDefault="005E4D97" w:rsidP="005E4D97">
      <w:pPr>
        <w:numPr>
          <w:ilvl w:val="0"/>
          <w:numId w:val="28"/>
        </w:numPr>
        <w:shd w:val="clear" w:color="auto" w:fill="FFFFFF"/>
        <w:spacing w:after="0" w:line="336" w:lineRule="atLeast"/>
        <w:ind w:left="456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Konsument nie jest rozpraszany formalnymi wymogami i może skoncentrować się na tym, co dla niego ważne, czyli na konsumpcji. Więc także i on powinien postrzegać system Sygnet jako wyraźne udogodnienie.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System Sygnet występuje więc w roli pośrednika pomiędzy:</w:t>
      </w:r>
    </w:p>
    <w:p w:rsidR="005E4D97" w:rsidRPr="005E4D97" w:rsidRDefault="005E4D97" w:rsidP="005E4D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biorcą informacji, czyli firmą F która potrzebuje zweryfikować nowego klienta pod kątem KYC,</w:t>
      </w:r>
    </w:p>
    <w:p w:rsidR="005E4D97" w:rsidRPr="005E4D97" w:rsidRDefault="005E4D97" w:rsidP="005E4D9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dawcą informacji, czyli bankiem B który uprzednio dokonał weryfikacji KYC dla danego klienta.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Czy ta rola pośrednika jest w naszym przypadku dobrze uzasadniona? Wydaje się że tak, bo dzięki systemowi Sygnet biorca informacji (tj. firma F) unika dwóch relatywnie trudno wykonalnych kwestii:</w:t>
      </w:r>
    </w:p>
    <w:p w:rsidR="005E4D97" w:rsidRPr="005E4D97" w:rsidRDefault="005E4D97" w:rsidP="005E4D9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nie musi posiadać statusu TPP (Third Party Provider) w PSD2,</w:t>
      </w:r>
    </w:p>
    <w:p w:rsidR="005E4D97" w:rsidRPr="005E4D97" w:rsidRDefault="005E4D97" w:rsidP="005E4D9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nie musi integrować się z wieloma bankami.</w:t>
      </w:r>
    </w:p>
    <w:p w:rsidR="005E4D97" w:rsidRPr="005E4D97" w:rsidRDefault="005E4D97" w:rsidP="005E4D97">
      <w:pPr>
        <w:pBdr>
          <w:bottom w:val="single" w:sz="6" w:space="8" w:color="DDDDDD"/>
        </w:pBdr>
        <w:shd w:val="clear" w:color="auto" w:fill="FFFFFF"/>
        <w:spacing w:before="450" w:after="150" w:line="240" w:lineRule="auto"/>
        <w:outlineLvl w:val="1"/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</w:pPr>
      <w:r w:rsidRPr="005E4D97"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  <w:t xml:space="preserve">6. Współpraca z podmiotami </w:t>
      </w:r>
      <w:proofErr w:type="spellStart"/>
      <w:r w:rsidRPr="005E4D97">
        <w:rPr>
          <w:rFonts w:ascii="Georgia" w:eastAsia="Times New Roman" w:hAnsi="Georgia" w:cs="Times New Roman"/>
          <w:color w:val="212224"/>
          <w:sz w:val="46"/>
          <w:szCs w:val="46"/>
          <w:lang w:eastAsia="pl-PL"/>
        </w:rPr>
        <w:t>niebankowymi</w:t>
      </w:r>
      <w:proofErr w:type="spellEnd"/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Wyżej opisany mechanizm weryfikacji tożsamości jest na tyle abstrakcyjny, że podmiotem będącym dawcą informacji może być nie tylko bank lecz także dowolny inny podmiot, który posiada:</w:t>
      </w:r>
    </w:p>
    <w:p w:rsidR="005E4D97" w:rsidRPr="005E4D97" w:rsidRDefault="005E4D97" w:rsidP="005E4D9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wiarygodne informacje o tożsamości swoich klientów,</w:t>
      </w:r>
    </w:p>
    <w:p w:rsidR="005E4D97" w:rsidRPr="005E4D97" w:rsidRDefault="005E4D97" w:rsidP="005E4D9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publiczne API,</w:t>
      </w:r>
    </w:p>
    <w:p w:rsidR="005E4D97" w:rsidRPr="005E4D97" w:rsidRDefault="005E4D97" w:rsidP="005E4D97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sprawnie działający system logowania dla swoich klientów.</w:t>
      </w:r>
    </w:p>
    <w:p w:rsidR="005E4D97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 xml:space="preserve">Bank, jako dawca informacji, jest dla nas najcenniejszym partnerem, bo spośród podmiotów gospodarczych tożsamość potwierdzona przez bank jest najbardziej wiarygodna. Jednak być może optymalną strategią jest zacząć od </w:t>
      </w: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lastRenderedPageBreak/>
        <w:t>współpracy z podmiotem niebankowym, np. Allegro, z następujących powodów:</w:t>
      </w:r>
    </w:p>
    <w:p w:rsidR="005E4D97" w:rsidRPr="005E4D97" w:rsidRDefault="005E4D97" w:rsidP="005E4D9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proces współpracy technologicznej będzie tu prawdopodobnie łatwiejszy,</w:t>
      </w:r>
    </w:p>
    <w:p w:rsidR="005E4D97" w:rsidRPr="005E4D97" w:rsidRDefault="005E4D97" w:rsidP="005E4D97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do takiego podmiotu bardziej przemawiają argumenty finansowe.</w:t>
      </w:r>
    </w:p>
    <w:p w:rsidR="004C22DA" w:rsidRPr="005E4D97" w:rsidRDefault="005E4D97" w:rsidP="005E4D97">
      <w:pPr>
        <w:shd w:val="clear" w:color="auto" w:fill="FFFFFF"/>
        <w:spacing w:before="100" w:beforeAutospacing="1" w:after="100" w:afterAutospacing="1" w:line="336" w:lineRule="atLeast"/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</w:pPr>
      <w:r w:rsidRPr="005E4D97">
        <w:rPr>
          <w:rFonts w:ascii="Georgia" w:eastAsia="Times New Roman" w:hAnsi="Georgia" w:cs="Times New Roman"/>
          <w:color w:val="3E4349"/>
          <w:sz w:val="26"/>
          <w:szCs w:val="26"/>
          <w:lang w:eastAsia="pl-PL"/>
        </w:rPr>
        <w:t>Ponadto fakt udanej współpracy z podmiotem niebankowym stawia nas w dużo lepszej pozycji negocjacyjnej podczas rozmowy z bankiem.</w:t>
      </w:r>
    </w:p>
    <w:sectPr w:rsidR="004C22DA" w:rsidRPr="005E4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D2B88"/>
    <w:multiLevelType w:val="multilevel"/>
    <w:tmpl w:val="5C1C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73B33"/>
    <w:multiLevelType w:val="multilevel"/>
    <w:tmpl w:val="A260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A2AD7"/>
    <w:multiLevelType w:val="multilevel"/>
    <w:tmpl w:val="524A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964AA"/>
    <w:multiLevelType w:val="multilevel"/>
    <w:tmpl w:val="40B4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B365C8"/>
    <w:multiLevelType w:val="multilevel"/>
    <w:tmpl w:val="FF9E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F93B7B"/>
    <w:multiLevelType w:val="multilevel"/>
    <w:tmpl w:val="46DC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952304"/>
    <w:multiLevelType w:val="multilevel"/>
    <w:tmpl w:val="2C46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B55CB5"/>
    <w:multiLevelType w:val="multilevel"/>
    <w:tmpl w:val="CD4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E368C"/>
    <w:multiLevelType w:val="multilevel"/>
    <w:tmpl w:val="BF6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730283"/>
    <w:multiLevelType w:val="multilevel"/>
    <w:tmpl w:val="2C5C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C2D63"/>
    <w:multiLevelType w:val="multilevel"/>
    <w:tmpl w:val="B8DA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C819BF"/>
    <w:multiLevelType w:val="multilevel"/>
    <w:tmpl w:val="B29E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1A57D2"/>
    <w:multiLevelType w:val="multilevel"/>
    <w:tmpl w:val="BFFE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46529"/>
    <w:multiLevelType w:val="multilevel"/>
    <w:tmpl w:val="6968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4B1C65"/>
    <w:multiLevelType w:val="multilevel"/>
    <w:tmpl w:val="FF10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926CB1"/>
    <w:multiLevelType w:val="multilevel"/>
    <w:tmpl w:val="251C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6C0856"/>
    <w:multiLevelType w:val="multilevel"/>
    <w:tmpl w:val="EB12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36B8F"/>
    <w:multiLevelType w:val="multilevel"/>
    <w:tmpl w:val="162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184006"/>
    <w:multiLevelType w:val="multilevel"/>
    <w:tmpl w:val="C07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4B4823"/>
    <w:multiLevelType w:val="multilevel"/>
    <w:tmpl w:val="2FC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AF1E40"/>
    <w:multiLevelType w:val="multilevel"/>
    <w:tmpl w:val="4818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465A18"/>
    <w:multiLevelType w:val="multilevel"/>
    <w:tmpl w:val="4D64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EE58AE"/>
    <w:multiLevelType w:val="multilevel"/>
    <w:tmpl w:val="BA5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47265E"/>
    <w:multiLevelType w:val="multilevel"/>
    <w:tmpl w:val="588C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52A21"/>
    <w:multiLevelType w:val="multilevel"/>
    <w:tmpl w:val="EF3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120BA9"/>
    <w:multiLevelType w:val="multilevel"/>
    <w:tmpl w:val="F77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6F784A"/>
    <w:multiLevelType w:val="multilevel"/>
    <w:tmpl w:val="151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4E1027"/>
    <w:multiLevelType w:val="multilevel"/>
    <w:tmpl w:val="9E8E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AA68BB"/>
    <w:multiLevelType w:val="multilevel"/>
    <w:tmpl w:val="4EC6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E55F0F"/>
    <w:multiLevelType w:val="multilevel"/>
    <w:tmpl w:val="3CD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DDF2F1F"/>
    <w:multiLevelType w:val="multilevel"/>
    <w:tmpl w:val="0464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744F21"/>
    <w:multiLevelType w:val="multilevel"/>
    <w:tmpl w:val="C4E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4"/>
  </w:num>
  <w:num w:numId="3">
    <w:abstractNumId w:val="27"/>
  </w:num>
  <w:num w:numId="4">
    <w:abstractNumId w:val="26"/>
  </w:num>
  <w:num w:numId="5">
    <w:abstractNumId w:val="2"/>
  </w:num>
  <w:num w:numId="6">
    <w:abstractNumId w:val="16"/>
  </w:num>
  <w:num w:numId="7">
    <w:abstractNumId w:val="0"/>
  </w:num>
  <w:num w:numId="8">
    <w:abstractNumId w:val="9"/>
  </w:num>
  <w:num w:numId="9">
    <w:abstractNumId w:val="31"/>
  </w:num>
  <w:num w:numId="10">
    <w:abstractNumId w:val="29"/>
  </w:num>
  <w:num w:numId="11">
    <w:abstractNumId w:val="10"/>
  </w:num>
  <w:num w:numId="12">
    <w:abstractNumId w:val="30"/>
  </w:num>
  <w:num w:numId="13">
    <w:abstractNumId w:val="21"/>
  </w:num>
  <w:num w:numId="14">
    <w:abstractNumId w:val="17"/>
  </w:num>
  <w:num w:numId="15">
    <w:abstractNumId w:val="1"/>
  </w:num>
  <w:num w:numId="16">
    <w:abstractNumId w:val="13"/>
  </w:num>
  <w:num w:numId="17">
    <w:abstractNumId w:val="3"/>
  </w:num>
  <w:num w:numId="18">
    <w:abstractNumId w:val="5"/>
  </w:num>
  <w:num w:numId="19">
    <w:abstractNumId w:val="25"/>
  </w:num>
  <w:num w:numId="20">
    <w:abstractNumId w:val="24"/>
  </w:num>
  <w:num w:numId="21">
    <w:abstractNumId w:val="6"/>
  </w:num>
  <w:num w:numId="22">
    <w:abstractNumId w:val="23"/>
  </w:num>
  <w:num w:numId="23">
    <w:abstractNumId w:val="15"/>
  </w:num>
  <w:num w:numId="24">
    <w:abstractNumId w:val="12"/>
  </w:num>
  <w:num w:numId="25">
    <w:abstractNumId w:val="14"/>
  </w:num>
  <w:num w:numId="26">
    <w:abstractNumId w:val="8"/>
  </w:num>
  <w:num w:numId="27">
    <w:abstractNumId w:val="19"/>
  </w:num>
  <w:num w:numId="28">
    <w:abstractNumId w:val="20"/>
  </w:num>
  <w:num w:numId="29">
    <w:abstractNumId w:val="18"/>
  </w:num>
  <w:num w:numId="30">
    <w:abstractNumId w:val="7"/>
  </w:num>
  <w:num w:numId="31">
    <w:abstractNumId w:val="2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97"/>
    <w:rsid w:val="001F7F49"/>
    <w:rsid w:val="002E3B2B"/>
    <w:rsid w:val="005E4D97"/>
    <w:rsid w:val="0063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C8EC"/>
  <w15:chartTrackingRefBased/>
  <w15:docId w15:val="{0E72CEC8-E311-49B4-83E8-D281FC13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link w:val="Heading1Char"/>
    <w:uiPriority w:val="9"/>
    <w:qFormat/>
    <w:rsid w:val="005E4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eading2">
    <w:name w:val="heading 2"/>
    <w:basedOn w:val="Normal"/>
    <w:link w:val="Heading2Char"/>
    <w:uiPriority w:val="9"/>
    <w:qFormat/>
    <w:rsid w:val="005E4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5E4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D97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5E4D97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5E4D97"/>
    <w:rPr>
      <w:rFonts w:ascii="Times New Roman" w:eastAsia="Times New Roman" w:hAnsi="Times New Roman" w:cs="Times New Roman"/>
      <w:b/>
      <w:bCs/>
      <w:sz w:val="27"/>
      <w:szCs w:val="27"/>
      <w:lang w:val="pl-PL" w:eastAsia="pl-PL"/>
    </w:rPr>
  </w:style>
  <w:style w:type="character" w:styleId="Hyperlink">
    <w:name w:val="Hyperlink"/>
    <w:basedOn w:val="DefaultParagraphFont"/>
    <w:uiPriority w:val="99"/>
    <w:semiHidden/>
    <w:unhideWhenUsed/>
    <w:rsid w:val="005E4D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Emphasis">
    <w:name w:val="Emphasis"/>
    <w:basedOn w:val="DefaultParagraphFont"/>
    <w:uiPriority w:val="20"/>
    <w:qFormat/>
    <w:rsid w:val="005E4D97"/>
    <w:rPr>
      <w:i/>
      <w:iCs/>
    </w:rPr>
  </w:style>
  <w:style w:type="character" w:styleId="Strong">
    <w:name w:val="Strong"/>
    <w:basedOn w:val="DefaultParagraphFont"/>
    <w:uiPriority w:val="22"/>
    <w:qFormat/>
    <w:rsid w:val="005E4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2722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7721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8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6601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776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27159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3492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52475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7191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19033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07175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053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13885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0824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3592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4816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1711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8232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828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3225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33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21332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68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7196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6657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204008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5342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7734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8425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84463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43167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2825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99384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14239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319482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  <w:divsChild>
                    <w:div w:id="282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0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cyfryzacja/profil-zaufany-ego-" TargetMode="External"/><Relationship Id="rId13" Type="http://schemas.openxmlformats.org/officeDocument/2006/relationships/hyperlink" Target="https://www.piit.org.pl/__data/assets/pdf_file/0018/7236/Opinia_ekspertow_PIIT_identyfikacja_elektroniczna_3110201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dkom.pl/weryfikacja-podpisu-elektronicznego/" TargetMode="External"/><Relationship Id="rId12" Type="http://schemas.openxmlformats.org/officeDocument/2006/relationships/hyperlink" Target="https://www.piit.org.pl/__data/assets/pdf_file/0018/7236/Opinia_ekspertow_PIIT_identyfikacja_elektroniczna_3110201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odpis_kwalifikowany" TargetMode="External"/><Relationship Id="rId11" Type="http://schemas.openxmlformats.org/officeDocument/2006/relationships/hyperlink" Target="https://www.piit.org.pl/__data/assets/pdf_file/0018/7236/Opinia_ekspertow_PIIT_identyfikacja_elektroniczna_31102017.pdf" TargetMode="External"/><Relationship Id="rId5" Type="http://schemas.openxmlformats.org/officeDocument/2006/relationships/hyperlink" Target="file:///D:\Workspaces\GitHub\sygnet\docs\build\html\Sygnet_Visio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sejm.gov.pl/Sejm8.nsf/druk.xsp?nr=25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iit.org.pl/__data/assets/pdf_file/0018/7236/Opinia_ekspertow_PIIT_identyfikacja_elektroniczna_31102017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3744</Words>
  <Characters>22469</Characters>
  <Application>Microsoft Office Word</Application>
  <DocSecurity>0</DocSecurity>
  <Lines>187</Lines>
  <Paragraphs>52</Paragraphs>
  <ScaleCrop>false</ScaleCrop>
  <Company/>
  <LinksUpToDate>false</LinksUpToDate>
  <CharactersWithSpaces>26161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tokenika</dc:creator>
  <cp:keywords/>
  <dc:description/>
  <cp:lastModifiedBy>tokenika</cp:lastModifiedBy>
  <cp:revision>1</cp:revision>
  <dcterms:created xsi:type="dcterms:W3CDTF">2018-05-24T10:36:00Z</dcterms:created>
  <dcterms:modified xsi:type="dcterms:W3CDTF">2018-05-24T10:45:00Z</dcterms:modified>
</cp:coreProperties>
</file>