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Grupo Musical</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Administrador do Sistema</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Descrição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o administrador do sistema criar um novo grupo musical que terá permissão para utilizar o sistema. Nesse CRUD deverá ser informado o nome, cpf e email do administrador do sistema que receberá um email para alterar sua senha de acesso e informar seus dados.</w:t>
            </w:r>
          </w:p>
        </w:tc>
      </w:tr>
    </w:tbl>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Colaboradores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Administrador do Grupo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Permite que um Associado já cadastrado no sistema seja definido como colaborador do grupo. Quando o usuário possui o papel de colaborador terá acesso as funcionalidades relacionadas a Instrumentos, Figurinos, Eventos, ensaios e financeiro conforme diagrama de casos de uso. O grupo também pode definir o papel de maestro. O papel de maestro tem acesso apenas as mesmas funcionalidades do associado.</w:t>
            </w:r>
          </w:p>
        </w:tc>
      </w:tr>
    </w:tbl>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Associados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para cadastrar novos associados no grupo musical. Ao finalizar o cadastro o colaborador receberá um email que permitirá redefinir sua senha e ter acesso aos seus dados pessoais para atualizá-los. Ao atualizar os dados de um associado ativo deverá ser reenviado email que permitirá atualizar a senha, se desejar.</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Tipos Instrumento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os tipos de instrumentos utilizados pelo grupo musical.</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Instrumento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instrumentos que fazem parte do patrimônio do grupo musical. O instrumento pode ser marcado como danificado, nesse caso, não poderá ser emprestado para associados ou colaboradores do grupo.</w:t>
            </w:r>
          </w:p>
        </w:tc>
      </w:tr>
    </w:tbl>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Figurino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os figurinos que serão disponibilizados para o grupo. Nesse caso de uso também serão cadastrados quantidade de figurinos disponíveis em cada manequim (tamanho).</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Entregar Figurino a Associado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Registra a entrega de um figurino de um determinado manequim a um associado. Após a entrega o usuário será notificado para que confime o recebimento do figurino. Deverá ser decrementado o número de figurinos disponíveis para empréstimo no manequim.</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Entregar Instrumento a Associado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Registra a entrega de um instrumento a um associado que esteja disponível para empréstimo. Após a entrega o usuário será notificado para que confime o recebimento do instrumento. </w:t>
            </w:r>
          </w:p>
        </w:tc>
      </w:tr>
    </w:tbl>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Devolver Instrumento com Associado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Registra a devolução de um instrumento que estava emprestado a um associado. Após a devolução, o instrumento ficará disponível para ser emprestado a outros associados ou colaboradores.</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Devolver Figurino com Associado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Registra a devolução de um figurino de um determinado manequim que estava com um associado. Após a devolução, deverá ser incrementado o número de figurinos disponíveis para empréstimo.</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Descartar Figurino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Registra o descarte de um figurino de um determinado manequim que estava com um associado. Após o descarte, deverá ser decrementado o número de figurinos disponíveis para empréstimo e incrementado o número de figurinos descartados. Um figurino descartado não pode ser mais emprestado ou devolvido. No descarte o associado registrado é o último a ter utilizado o figurino.</w:t>
            </w:r>
          </w:p>
        </w:tc>
      </w:tr>
    </w:tbl>
    <w:p>
      <w:pPr>
        <w:pStyle w:val="Normal"/>
        <w:rPr/>
      </w:pPr>
      <w:r>
        <w:rPr/>
      </w:r>
    </w:p>
    <w:p>
      <w:pPr>
        <w:pStyle w:val="Normal"/>
        <w:rPr/>
      </w:pPr>
      <w:r>
        <w:rPr/>
      </w:r>
      <w:bookmarkStart w:id="0" w:name="_GoBack"/>
      <w:bookmarkStart w:id="1" w:name="_GoBack"/>
      <w:bookmarkEnd w:id="1"/>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Ensaios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os ensaios que serão realizados. A funcionalidade também deverá permitir registrar as frequência e avaliar justificativas dos associados que não puderam participar dos ensaios obrigatórios. A funcionalidade deve também disponibilizar um botão para notificar associados que enviará mensagens para todos os associados ativos com os dados do ensaio. A mensagem padrão poderá ser editada no momento do envio.</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Eventos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os eventos que serão realizados. A funcionalidade também deverá permitir registrar as frequência e avaliar justificativas dos associados que não puderam participar dos eventos. A funcionalidade permitirá definir a quantidade de instrumentos que serão necessários e aprovar as inscrições dos associados que se disponibilizaram para apresentação.  Após a aprovação/reprovação das in</w:t>
            </w:r>
            <w:r>
              <w:rPr>
                <w:rFonts w:eastAsia="Calibri" w:cs=""/>
                <w:kern w:val="0"/>
                <w:sz w:val="22"/>
                <w:szCs w:val="22"/>
                <w:lang w:val="pt-BR" w:eastAsia="en-US" w:bidi="ar-SA"/>
              </w:rPr>
              <w:t>s</w:t>
            </w:r>
            <w:r>
              <w:rPr>
                <w:rFonts w:eastAsia="Calibri" w:cs=""/>
                <w:kern w:val="0"/>
                <w:sz w:val="22"/>
                <w:szCs w:val="22"/>
                <w:lang w:val="pt-BR" w:eastAsia="en-US" w:bidi="ar-SA"/>
              </w:rPr>
              <w:t>crição do usuário, ele receber</w:t>
            </w:r>
            <w:r>
              <w:rPr>
                <w:rFonts w:eastAsia="Calibri" w:cs=""/>
                <w:kern w:val="0"/>
                <w:sz w:val="22"/>
                <w:szCs w:val="22"/>
                <w:lang w:val="pt-BR" w:eastAsia="en-US" w:bidi="ar-SA"/>
              </w:rPr>
              <w:t>á</w:t>
            </w:r>
            <w:r>
              <w:rPr>
                <w:rFonts w:eastAsia="Calibri" w:cs=""/>
                <w:kern w:val="0"/>
                <w:sz w:val="22"/>
                <w:szCs w:val="22"/>
                <w:lang w:val="pt-BR" w:eastAsia="en-US" w:bidi="ar-SA"/>
              </w:rPr>
              <w:t xml:space="preserve"> uma notificação. Também deverá possuir um botão para notificar todos os associados aprovados para apresentação no evento. A mensagem padrão poderá ser editada no momento do envio.</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Material de Estudo</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informações sobre materiais de estudos que serão disponibilizados através do drive virtual do grupo ou através do youtube. Todos os usuários ativos devem ser notificados sempre que um novo material for disponibilizado ou alterado.</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Informativos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informativos a serem enviados todos os associados ou apenas aos associados ativos.</w:t>
            </w:r>
          </w:p>
        </w:tc>
      </w:tr>
    </w:tbl>
    <w:p>
      <w:pPr>
        <w:pStyle w:val="Normal"/>
        <w:rPr/>
      </w:pPr>
      <w:r>
        <w:rPr/>
      </w:r>
    </w:p>
    <w:p>
      <w:pPr>
        <w:pStyle w:val="Normal"/>
        <w:rPr/>
      </w:pPr>
      <w: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6"/>
        <w:gridCol w:w="6797"/>
      </w:tblGrid>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Caso de Uso</w:t>
            </w:r>
          </w:p>
        </w:tc>
        <w:tc>
          <w:tcPr>
            <w:tcW w:w="6797" w:type="dxa"/>
            <w:tcBorders/>
          </w:tcPr>
          <w:p>
            <w:pPr>
              <w:pStyle w:val="Normal"/>
              <w:widowControl/>
              <w:spacing w:lineRule="auto" w:line="240" w:before="0" w:after="0"/>
              <w:jc w:val="left"/>
              <w:rPr>
                <w:b/>
              </w:rPr>
            </w:pPr>
            <w:r>
              <w:rPr>
                <w:rFonts w:eastAsia="Calibri" w:cs=""/>
                <w:b/>
                <w:color w:val="FF0000"/>
                <w:kern w:val="0"/>
                <w:sz w:val="22"/>
                <w:szCs w:val="22"/>
                <w:lang w:val="pt-BR" w:eastAsia="en-US" w:bidi="ar-SA"/>
              </w:rPr>
              <w:t>Manter Pagamentos Associados</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Ator Principal</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Colaborador</w:t>
            </w:r>
          </w:p>
        </w:tc>
      </w:tr>
      <w:tr>
        <w:trPr/>
        <w:tc>
          <w:tcPr>
            <w:tcW w:w="1696" w:type="dxa"/>
            <w:tcBorders/>
          </w:tcPr>
          <w:p>
            <w:pPr>
              <w:pStyle w:val="Normal"/>
              <w:widowControl/>
              <w:spacing w:lineRule="auto" w:line="240" w:before="0" w:after="0"/>
              <w:jc w:val="left"/>
              <w:rPr>
                <w:b/>
              </w:rPr>
            </w:pPr>
            <w:r>
              <w:rPr>
                <w:rFonts w:eastAsia="Calibri" w:cs=""/>
                <w:b/>
                <w:kern w:val="0"/>
                <w:sz w:val="22"/>
                <w:szCs w:val="22"/>
                <w:lang w:val="pt-BR" w:eastAsia="en-US" w:bidi="ar-SA"/>
              </w:rPr>
              <w:t>Resumo</w:t>
            </w:r>
          </w:p>
        </w:tc>
        <w:tc>
          <w:tcPr>
            <w:tcW w:w="6797"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CRUD que permite cadastrar uma receita financeira a ser recebida pelo grupo musical e registrar e/ou confirmar os pagamentos de cada associado.</w:t>
            </w:r>
          </w:p>
        </w:tc>
      </w:tr>
    </w:tbl>
    <w:p>
      <w:pPr>
        <w:pStyle w:val="Normal"/>
        <w:rPr/>
      </w:pPr>
      <w:r>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0f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LibreOffice/7.5.4.2$Windows_X86_64 LibreOffice_project/36ccfdc35048b057fd9854c757a8b67ec53977b6</Application>
  <AppVersion>15.0000</AppVersion>
  <Pages>3</Pages>
  <Words>794</Words>
  <Characters>4554</Characters>
  <CharactersWithSpaces>5254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2023-05-23T13:49:00Z</dcterms:created>
  <dc:creator>Marcos Dósea</dc:creator>
  <dc:description/>
  <dc:language>pt-BR</dc:language>
  <cp:lastModifiedBy/>
  <dcterms:modified xsi:type="dcterms:W3CDTF">2024-06-06T23:24:09Z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