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7CE0" w14:textId="77777777" w:rsidR="00F81B39" w:rsidRDefault="00000000">
      <w:pPr>
        <w:spacing w:before="200" w:after="100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>SYSTEM DESIGN</w:t>
      </w:r>
    </w:p>
    <w:p w14:paraId="1FD48168" w14:textId="77777777" w:rsidR="00F81B39" w:rsidRDefault="00000000">
      <w:pPr>
        <w:keepNext/>
        <w:spacing w:after="60"/>
        <w:rPr>
          <w:rFonts w:hint="eastAsia"/>
        </w:rPr>
      </w:pPr>
      <w:r>
        <w:rPr>
          <w:rFonts w:ascii="Arial" w:hAnsi="Arial"/>
          <w:b/>
          <w:color w:val="103651"/>
          <w:sz w:val="50"/>
        </w:rPr>
        <w:t>Complete System Architecture &amp; Technical Workflow</w:t>
      </w:r>
    </w:p>
    <w:p w14:paraId="36753911" w14:textId="77777777" w:rsidR="00F81B39" w:rsidRDefault="00000000">
      <w:pPr>
        <w:keepNext/>
        <w:spacing w:after="200"/>
        <w:rPr>
          <w:rFonts w:hint="eastAsia"/>
        </w:rPr>
      </w:pPr>
      <w:r>
        <w:rPr>
          <w:rFonts w:ascii="Arial" w:hAnsi="Arial"/>
          <w:color w:val="5C7485"/>
          <w:sz w:val="21"/>
        </w:rPr>
        <w:t>From browser session to persisted operations and event processing</w:t>
      </w:r>
    </w:p>
    <w:p w14:paraId="4A1B0330" w14:textId="77777777" w:rsidR="00F81B39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EXECUTIVE SUMMARY  </w:t>
      </w:r>
      <w:r>
        <w:rPr>
          <w:rFonts w:ascii="Arial" w:hAnsi="Arial"/>
          <w:color w:val="263B4B"/>
          <w:sz w:val="18"/>
        </w:rPr>
        <w:t>The operational product uses a shared React frontend and Node API, with persistence through repositories. A separately packaged Python pipeline ingests external material and derives canonical logistics events.</w:t>
      </w:r>
    </w:p>
    <w:p w14:paraId="09562341" w14:textId="77777777" w:rsidR="00F81B39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Operational request workflow</w:t>
      </w:r>
    </w:p>
    <w:p w14:paraId="48932DC9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Route and session — React Router selects the public login/register pages or protected /admin/dashboard and /user/dashboard route. Auth context restores the token and asks the API for the current user.</w:t>
      </w:r>
    </w:p>
    <w:p w14:paraId="51504233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Authorize — Express middleware verifies the bearer token, reloads the account, checks active status, and attaches a sanitized user profile. Role middleware restricts administrator-only actions.</w:t>
      </w:r>
    </w:p>
    <w:p w14:paraId="0F0871A0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Validate and scope — Route handlers validate request fields. For user-owned data, handlers/repositories constrain access to the authenticated owner and return not-found responses for foreign resources.</w:t>
      </w:r>
    </w:p>
    <w:p w14:paraId="51FBCB75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Persist — Repository abstractions use parameterized PostgreSQL queries when a database pool exists, and in-memory stores when DATABASE_URL is unset. A configured but unreachable database is intended to fail startup rather than silently switch modes.</w:t>
      </w:r>
    </w:p>
    <w:p w14:paraId="43B93A85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Project response — The API returns JSON data. Vehicle responses can include active deployment and location-source projections; the client refreshes dashboard, fleet, and trip views.</w:t>
      </w:r>
    </w:p>
    <w:p w14:paraId="3406D330" w14:textId="77777777" w:rsidR="00F81B39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Operational domain and lifecycle</w:t>
      </w:r>
    </w:p>
    <w:p w14:paraId="04E0AE3C" w14:textId="77777777" w:rsidR="00F81B39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color w:val="263B4B"/>
          <w:sz w:val="18"/>
        </w:rPr>
        <w:t>A vehicle is a persistent asset. A deployment is one journey, so one vehicle can accumulate sequential deployment history. Deployment states include PLANNED, ACTIVE, DELAYED, COMPLETED, and CANCELLED; active-state eligibility is checked before creating a second trip. Completion or cancellation closes the journey while retaining the vehicle record.</w:t>
      </w:r>
    </w:p>
    <w:p w14:paraId="3A88E673" w14:textId="77777777" w:rsidR="00F81B39" w:rsidRDefault="00000000">
      <w:pPr>
        <w:spacing w:after="100" w:line="264" w:lineRule="auto"/>
        <w:rPr>
          <w:rFonts w:hint="eastAsia"/>
        </w:rPr>
      </w:pPr>
      <w:r>
        <w:rPr>
          <w:rFonts w:ascii="Arial" w:hAnsi="Arial"/>
          <w:color w:val="263B4B"/>
          <w:sz w:val="18"/>
        </w:rPr>
        <w:t>Safety state belongs to the Track 4 workflow and is distinct from deployment state. Location projection prefers actual telemetry, then deployment origin, then a legitimate saved vehicle location; unknown location should remain unknown rather than inventing a map position.</w:t>
      </w:r>
    </w:p>
    <w:p w14:paraId="30FD9B86" w14:textId="77777777" w:rsidR="00F81B39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Track 4 voice workflow</w:t>
      </w:r>
    </w:p>
    <w:p w14:paraId="0C44440A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Trigger — An administrator flags a vehicle or starts a safety check through protected voice endpoints.</w:t>
      </w:r>
    </w:p>
    <w:p w14:paraId="31F2FDBD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Guard — Provider configuration, call cooldowns, allowlist settings, live-call activation, and phone validation are applied by the voice subsystem.</w:t>
      </w:r>
    </w:p>
    <w:p w14:paraId="51FD07C9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Call and callback — The selected provider (mock by default in the example configuration; Sarvam integration files are present) creates or simulates the interaction. Webhook routes process status/speech callback data.</w:t>
      </w:r>
    </w:p>
    <w:p w14:paraId="732098D6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Classify and escalate — Safety logic maps conversation signals to outcomes, updates the vehicle safety status, records call state, and can raise an administrator alert.</w:t>
      </w:r>
    </w:p>
    <w:p w14:paraId="44943C62" w14:textId="77777777" w:rsidR="00F81B39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Python event-intelligence workflow</w:t>
      </w:r>
    </w:p>
    <w:p w14:paraId="05DD5226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Ingest — Adapters exist for GDELT, PIB, IMD, NHAI, and AAI sources; raw documents are fetched and persisted.</w:t>
      </w:r>
    </w:p>
    <w:p w14:paraId="16A5276A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Prepare — Cleaning, deduplication, relevance filtering, named-entity and temporal extraction normalize candidate content.</w:t>
      </w:r>
    </w:p>
    <w:p w14:paraId="58E5DC68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Enrich — Geolocation resolution, accessibility analysis, impact scoring, severity analysis, and clustering produce or update canonical events.</w:t>
      </w:r>
    </w:p>
    <w:p w14:paraId="054565E4" w14:textId="77777777" w:rsidR="00F81B39" w:rsidRDefault="00000000">
      <w:pPr>
        <w:pStyle w:val="ListNumber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Maintain lifecycle — Repositories store documents, locations, events, and impacts; lifecycle logic evaluates active/resolved states.</w:t>
      </w:r>
    </w:p>
    <w:p w14:paraId="526282B7" w14:textId="77777777" w:rsidR="00F81B39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color w:val="263B4B"/>
          <w:sz w:val="18"/>
        </w:rPr>
        <w:t>Code-level integration caveats are documented in the data-pipeline guide: the orchestration currently contains a placeholder source UUID and the CLI end-to-end run command is a placeholder message.</w:t>
      </w:r>
    </w:p>
    <w:p w14:paraId="283D8ABC" w14:textId="77777777" w:rsidR="00F81B39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lastRenderedPageBreak/>
        <w:t>Persistence and runtime</w:t>
      </w:r>
    </w:p>
    <w:p w14:paraId="5C00297C" w14:textId="77777777" w:rsidR="00F81B39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Operational API: PostgreSQL through node-postgres and repository modules, or memory stores when DATABASE_URL is absent.</w:t>
      </w:r>
    </w:p>
    <w:p w14:paraId="0D445610" w14:textId="77777777" w:rsidR="00F81B39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Python pipeline: SQLAlchemy models/repositories, Alembic migrations, Postgres/PostGIS-related dependencies, and Redis/RQ worker dependencies.</w:t>
      </w:r>
    </w:p>
    <w:p w14:paraId="11A65964" w14:textId="77777777" w:rsidR="00F81B39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Web client: Vite development/build setup; Express can serve the built frontend assets.</w:t>
      </w:r>
    </w:p>
    <w:p w14:paraId="35BFFFEF" w14:textId="77777777" w:rsidR="00F81B39" w:rsidRDefault="00000000">
      <w:pPr>
        <w:pStyle w:val="ListBullet"/>
        <w:spacing w:line="259" w:lineRule="auto"/>
        <w:ind w:left="432" w:hanging="245"/>
        <w:rPr>
          <w:rFonts w:hint="eastAsia"/>
        </w:rPr>
      </w:pPr>
      <w:r>
        <w:rPr>
          <w:rFonts w:ascii="Arial" w:hAnsi="Arial"/>
          <w:color w:val="263B4B"/>
          <w:sz w:val="18"/>
        </w:rPr>
        <w:t>Configuration: environment variables include database, JWT, map, vision, weather, and voice-provider settings; secrets belong server-side.</w:t>
      </w:r>
    </w:p>
    <w:p w14:paraId="21CA4CEB" w14:textId="77777777" w:rsidR="00F81B39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Sequence in one line</w:t>
      </w:r>
    </w:p>
    <w:p w14:paraId="68F585B9" w14:textId="77777777" w:rsidR="00F81B39" w:rsidRDefault="00000000">
      <w:pPr>
        <w:shd w:val="clear" w:color="auto" w:fill="EAF4F5"/>
        <w:spacing w:after="100" w:line="264" w:lineRule="auto"/>
        <w:ind w:left="140" w:right="140"/>
        <w:rPr>
          <w:rFonts w:hint="eastAsia"/>
        </w:rPr>
      </w:pPr>
      <w:r>
        <w:rPr>
          <w:rFonts w:ascii="Arial" w:hAnsi="Arial"/>
          <w:b/>
          <w:color w:val="07878A"/>
          <w:sz w:val="18"/>
        </w:rPr>
        <w:t xml:space="preserve">PPT summary  </w:t>
      </w:r>
      <w:r>
        <w:rPr>
          <w:rFonts w:ascii="Arial" w:hAnsi="Arial"/>
          <w:color w:val="263B4B"/>
          <w:sz w:val="18"/>
        </w:rPr>
        <w:t>Authenticate → authorize and scope → operate on persistent vehicle/trip records → project regional status → run safety escalation or independently ingest and process external event evidence.</w:t>
      </w:r>
    </w:p>
    <w:p w14:paraId="2E17E672" w14:textId="77777777" w:rsidR="00F81B39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Repository basis</w:t>
      </w:r>
    </w:p>
    <w:p w14:paraId="65F06DE4" w14:textId="77777777" w:rsidR="00F81B39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SOURCE BASIS  </w:t>
      </w:r>
      <w:r>
        <w:rPr>
          <w:rFonts w:ascii="Arial" w:hAnsi="Arial"/>
          <w:color w:val="263B4B"/>
          <w:sz w:val="18"/>
        </w:rPr>
        <w:t>src/App.jsx; src/services/api.js; server/index.js; server/auth/*; server/db/*; server/voice/*; backend/app/services/orchestration.py; backend/app/cli.py; backend/app/workers/jobs.py; backend/app/db/*.</w:t>
      </w:r>
    </w:p>
    <w:p w14:paraId="53B4B2CC" w14:textId="77777777" w:rsidR="00F81B39" w:rsidRDefault="00000000">
      <w:pPr>
        <w:pStyle w:val="Heading1"/>
        <w:pBdr>
          <w:bottom w:val="single" w:sz="5" w:space="4" w:color="D5E3E8"/>
        </w:pBdr>
        <w:spacing w:before="240" w:after="100"/>
      </w:pPr>
      <w:r>
        <w:rPr>
          <w:rFonts w:ascii="Arial" w:hAnsi="Arial"/>
          <w:color w:val="103651"/>
          <w:sz w:val="26"/>
        </w:rPr>
        <w:t>Architecture map</w:t>
      </w:r>
    </w:p>
    <w:p w14:paraId="563C1652" w14:textId="77777777" w:rsidR="00F81B39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FLOW  </w:t>
      </w:r>
      <w:r>
        <w:rPr>
          <w:rFonts w:ascii="Arial" w:hAnsi="Arial"/>
          <w:color w:val="263B4B"/>
          <w:sz w:val="18"/>
        </w:rPr>
        <w:t>Browser (React + React Router)  →  Node / Express API  →  Repository layer  →  PostgreSQL (configured) or in-memory store (local/test)</w:t>
      </w:r>
    </w:p>
    <w:p w14:paraId="5A313C4D" w14:textId="77777777" w:rsidR="00F81B39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FLOW  </w:t>
      </w:r>
      <w:r>
        <w:rPr>
          <w:rFonts w:ascii="Arial" w:hAnsi="Arial"/>
          <w:color w:val="263B4B"/>
          <w:sz w:val="18"/>
        </w:rPr>
        <w:t>Python source adapters  →  Raw document store  →  clean / deduplicate / relevance filter  →  extract / locate / score / cluster  →  event lifecycle + impact persistence</w:t>
      </w:r>
    </w:p>
    <w:p w14:paraId="2DE3411F" w14:textId="77777777" w:rsidR="00F81B39" w:rsidRDefault="00000000">
      <w:pPr>
        <w:pBdr>
          <w:left w:val="single" w:sz="24" w:space="8" w:color="07878A"/>
        </w:pBdr>
        <w:shd w:val="clear" w:color="auto" w:fill="EDF6F7"/>
        <w:spacing w:before="80" w:after="160"/>
        <w:ind w:left="144" w:right="144"/>
        <w:rPr>
          <w:rFonts w:hint="eastAsia"/>
        </w:rPr>
      </w:pPr>
      <w:r>
        <w:rPr>
          <w:rFonts w:ascii="Arial" w:hAnsi="Arial"/>
          <w:b/>
          <w:color w:val="07878A"/>
          <w:sz w:val="17"/>
        </w:rPr>
        <w:t xml:space="preserve">NOTE  </w:t>
      </w:r>
      <w:r>
        <w:rPr>
          <w:rFonts w:ascii="Arial" w:hAnsi="Arial"/>
          <w:color w:val="263B4B"/>
          <w:sz w:val="18"/>
        </w:rPr>
        <w:t>The Python pipeline is structurally separate from the Node API in the inspected repository. No Python HTTP service or explicit Node-to-Python event-serving integration was identified.</w:t>
      </w:r>
    </w:p>
    <w:p w14:paraId="0246125D" w14:textId="77777777" w:rsidR="00F81B39" w:rsidRDefault="00000000">
      <w:pPr>
        <w:keepLines/>
        <w:spacing w:before="100" w:after="100" w:line="264" w:lineRule="auto"/>
        <w:jc w:val="center"/>
        <w:rPr>
          <w:rFonts w:hint="eastAsia"/>
        </w:rPr>
      </w:pPr>
      <w:r>
        <w:rPr>
          <w:rFonts w:ascii="Arial" w:hAnsi="Arial"/>
          <w:noProof/>
          <w:color w:val="263B4B"/>
          <w:sz w:val="18"/>
        </w:rPr>
        <w:drawing>
          <wp:inline distT="0" distB="0" distL="0" distR="0" wp14:anchorId="553B33EE" wp14:editId="5B440981">
            <wp:extent cx="6172200" cy="1452282"/>
            <wp:effectExtent l="0" t="0" r="0" b="0"/>
            <wp:docPr id="1" name="Picture 1" descr="SYSTEM BOUNDARIES &amp; DATA FLOW. PYTHON PIPELINE  |  Adapters -&gt; documents -&gt; processing -&gt; events; separate from portal API" title="Project Brahmaputra 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B39" w:rsidSect="00034616">
      <w:headerReference w:type="even" r:id="rId9"/>
      <w:headerReference w:type="default" r:id="rId10"/>
      <w:headerReference w:type="first" r:id="rId13"/>
      <w:pgSz w:w="12240" w:h="15840"/>
      <w:pgMar w:top="1123" w:right="1181" w:bottom="1037" w:left="1181" w:header="49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BF2ED" w14:textId="77777777" w:rsidR="00EB210C" w:rsidRDefault="00EB21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49ACC0" w14:textId="77777777" w:rsidR="00EB210C" w:rsidRDefault="00EB21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3BD0" w14:textId="77777777" w:rsidR="00500614" w:rsidRDefault="005006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9AE3" w14:textId="2BFB9117" w:rsidR="00F81B39" w:rsidRDefault="00F81B39">
    <w:pPr>
      <w:pStyle w:val="Footer"/>
      <w:spacing w:before="80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53B2" w14:textId="77777777" w:rsidR="00500614" w:rsidRDefault="00500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63647" w14:textId="77777777" w:rsidR="00EB210C" w:rsidRDefault="00EB21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255233" w14:textId="77777777" w:rsidR="00EB210C" w:rsidRDefault="00EB21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DA9A8" w14:textId="77777777" w:rsidR="00500614" w:rsidRDefault="005006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E238" w14:textId="77777777" w:rsidR="00F81B39" w:rsidRDefault="00000000">
    <w:pPr>
      <w:pStyle w:val="Header"/>
      <w:pBdr>
        <w:bottom w:val="single" w:sz="8" w:space="5" w:color="59C5D4"/>
      </w:pBdr>
      <w:tabs>
        <w:tab w:val="left" w:pos="9720"/>
        <w:tab w:val="left" w:pos="9720"/>
        <w:tab w:val="left" w:pos="9720"/>
        <w:tab w:val="left" w:pos="9720"/>
      </w:tabs>
      <w:spacing w:after="80"/>
      <w:jc w:val="right"/>
      <w:rPr>
        <w:rFonts w:hint="eastAsia"/>
      </w:rPr>
    </w:pPr>
    <w:r>
      <w:rPr>
        <w:noProof/>
      </w:rPr>
      <w:drawing>
        <wp:inline distT="0" distB="0" distL="0" distR="0" wp14:anchorId="14266B96" wp14:editId="20FA09F9">
          <wp:extent cx="265176" cy="265176"/>
          <wp:effectExtent l="0" t="0" r="0" b="0"/>
          <wp:docPr id="1430966532" name="Picture 1430966532" descr="Brahmaputra smart logistics emblem" title="Project Brahmaputra workflow dia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ahmaputra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176" cy="2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/>
        <w:color w:val="103651"/>
        <w:sz w:val="16"/>
      </w:rPr>
      <w:t xml:space="preserve">  PROJECT </w:t>
    </w:r>
    <w:proofErr w:type="gramStart"/>
    <w:r>
      <w:rPr>
        <w:rFonts w:ascii="Arial" w:hAnsi="Arial"/>
        <w:b/>
        <w:color w:val="103651"/>
        <w:sz w:val="16"/>
      </w:rPr>
      <w:t>BRAHMAPUTRA  |</w:t>
    </w:r>
    <w:proofErr w:type="gramEnd"/>
    <w:r>
      <w:rPr>
        <w:rFonts w:ascii="Arial" w:hAnsi="Arial"/>
        <w:b/>
        <w:color w:val="103651"/>
        <w:sz w:val="16"/>
      </w:rPr>
      <w:t xml:space="preserve">  SMART LOGISTICS &amp; CONNECTED NER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3EC0" w14:textId="77777777" w:rsidR="00500614" w:rsidRDefault="005006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45959">
    <w:abstractNumId w:val="8"/>
  </w:num>
  <w:num w:numId="2" w16cid:durableId="2023432351">
    <w:abstractNumId w:val="6"/>
  </w:num>
  <w:num w:numId="3" w16cid:durableId="1249460152">
    <w:abstractNumId w:val="5"/>
  </w:num>
  <w:num w:numId="4" w16cid:durableId="678431057">
    <w:abstractNumId w:val="4"/>
  </w:num>
  <w:num w:numId="5" w16cid:durableId="1774858325">
    <w:abstractNumId w:val="7"/>
  </w:num>
  <w:num w:numId="6" w16cid:durableId="891189031">
    <w:abstractNumId w:val="3"/>
  </w:num>
  <w:num w:numId="7" w16cid:durableId="272136765">
    <w:abstractNumId w:val="2"/>
  </w:num>
  <w:num w:numId="8" w16cid:durableId="1620453841">
    <w:abstractNumId w:val="1"/>
  </w:num>
  <w:num w:numId="9" w16cid:durableId="44337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614"/>
    <w:rsid w:val="009D2C40"/>
    <w:rsid w:val="00AA1D8D"/>
    <w:rsid w:val="00B47730"/>
    <w:rsid w:val="00CB0664"/>
    <w:rsid w:val="00EB210C"/>
    <w:rsid w:val="00F81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47F8"/>
  <w14:defaultImageDpi w14:val="300"/>
  <w15:docId w15:val="{02633408-9DA1-4B50-8E71-94E9B919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7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432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System Architecture &amp; Technical Workflow</dc:title>
  <dc:subject>Project Brahmaputra | Complete System Architecture &amp; Technical Workflow</dc:subject>
  <dc:creator>Project Brahmaputra</dc:creator>
  <cp:keywords>Project Brahmaputra, Smart Logistics, North Eastern Region, technical documentation</cp:keywords>
  <dc:description>generated by python-docx</dc:description>
  <cp:lastModifiedBy>kaushik ponnaboina</cp:lastModifiedBy>
  <cp:revision>3</cp:revision>
  <dcterms:created xsi:type="dcterms:W3CDTF">2013-12-23T23:15:00Z</dcterms:created>
  <dcterms:modified xsi:type="dcterms:W3CDTF">2026-09-26T10:10:00Z</dcterms:modified>
  <cp:category/>
</cp:coreProperties>
</file>