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200"/>
      </w:pPr>
      <w:r>
        <w:rPr>
          <w:rFonts w:ascii="Arial" w:hAnsi="Arial"/>
          <w:b/>
          <w:color w:val="07878A"/>
          <w:sz w:val="17"/>
        </w:rPr>
        <w:t>MODULE GUIDE 02</w:t>
      </w:r>
    </w:p>
    <w:p>
      <w:pPr>
        <w:keepNext/>
        <w:spacing w:after="60"/>
      </w:pPr>
      <w:r>
        <w:rPr>
          <w:rFonts w:ascii="Arial" w:hAnsi="Arial"/>
          <w:b/>
          <w:color w:val="103651"/>
          <w:sz w:val="50"/>
        </w:rPr>
        <w:t>Advanced Features</w:t>
      </w:r>
    </w:p>
    <w:p>
      <w:pPr>
        <w:keepNext/>
        <w:spacing w:after="200"/>
      </w:pPr>
      <w:r>
        <w:rPr>
          <w:rFonts w:ascii="Arial" w:hAnsi="Arial"/>
          <w:b w:val="0"/>
          <w:color w:val="5C7485"/>
          <w:sz w:val="21"/>
        </w:rPr>
        <w:t>Route awareness, safety escalation, incident verification, and installable mobile experience</w:t>
      </w:r>
    </w:p>
    <w:p>
      <w:pPr>
        <w:spacing w:after="160" w:line="269" w:lineRule="auto" w:before="80"/>
        <w:ind w:left="144" w:right="144"/>
        <w:pBdr>
          <w:left w:val="single" w:sz="24" w:space="8" w:color="07878A"/>
        </w:pBdr>
        <w:shd w:fill="EDF6F7"/>
      </w:pPr>
      <w:r>
        <w:rPr>
          <w:rFonts w:ascii="Arial" w:hAnsi="Arial"/>
          <w:b/>
          <w:color w:val="07878A"/>
          <w:sz w:val="17"/>
        </w:rPr>
        <w:t xml:space="preserve">EXECUTIVE SUMMARY  </w:t>
      </w:r>
      <w:r>
        <w:rPr>
          <w:rFonts w:ascii="Arial" w:hAnsi="Arial"/>
          <w:b w:val="0"/>
          <w:color w:val="263B4B"/>
          <w:sz w:val="18"/>
        </w:rPr>
        <w:t>Advanced capabilities combine operational records with map context, external providers, user reports, and guarded voice workflows.</w:t>
      </w:r>
    </w:p>
    <w:p>
      <w:pPr>
        <w:pStyle w:val="ListBullet"/>
        <w:widowControl/>
        <w:spacing w:after="60" w:line="259" w:lineRule="auto"/>
        <w:ind w:left="432" w:hanging="245"/>
      </w:pPr>
      <w:r>
        <w:rPr>
          <w:rFonts w:ascii="Arial" w:hAnsi="Arial"/>
          <w:b w:val="0"/>
          <w:color w:val="263B4B"/>
          <w:sz w:val="18"/>
        </w:rPr>
        <w:t>Weather is available through a distinct endpoint and optional environment configuration.</w:t>
      </w:r>
    </w:p>
    <w:p>
      <w:pPr>
        <w:pStyle w:val="Heading1"/>
        <w:keepNext/>
        <w:widowControl/>
        <w:spacing w:before="240" w:after="100"/>
        <w:pBdr>
          <w:bottom w:val="single" w:sz="5" w:space="4" w:color="D5E3E8"/>
        </w:pBdr>
      </w:pPr>
      <w:r>
        <w:rPr>
          <w:rFonts w:ascii="Arial" w:hAnsi="Arial"/>
          <w:b/>
          <w:color w:val="103651"/>
          <w:sz w:val="26"/>
        </w:rPr>
        <w:t>Track 4 driver safety</w:t>
      </w:r>
    </w:p>
    <w:p>
      <w:pPr>
        <w:widowControl/>
        <w:spacing w:after="100" w:line="264" w:lineRule="auto"/>
      </w:pPr>
      <w:r>
        <w:rPr>
          <w:rFonts w:ascii="Arial" w:hAnsi="Arial"/>
          <w:b w:val="0"/>
          <w:color w:val="263B4B"/>
          <w:sz w:val="18"/>
        </w:rPr>
        <w:t>Track 4 keeps the safety check lifecycle independent of trip lifecycle. The server-side voice service abstracts providers, applies safety guardrails, handles webhook events, classifies outcomes, and can trigger an escalation.</w:t>
      </w:r>
    </w:p>
    <w:p>
      <w:pPr>
        <w:widowControl/>
        <w:spacing w:after="100" w:line="264" w:lineRule="auto"/>
      </w:pPr>
      <w:r>
        <w:rPr>
          <w:rFonts w:ascii="Arial" w:hAnsi="Arial"/>
          <w:b/>
          <w:color w:val="07878A"/>
          <w:sz w:val="18"/>
        </w:rPr>
        <w:t xml:space="preserve">Default posture  </w:t>
      </w:r>
      <w:r>
        <w:rPr>
          <w:rFonts w:ascii="Arial" w:hAnsi="Arial"/>
          <w:b w:val="0"/>
          <w:color w:val="263B4B"/>
          <w:sz w:val="18"/>
        </w:rPr>
        <w:t>The sample environment selects the mock provider and disables live Sarvam calls.</w:t>
      </w:r>
    </w:p>
    <w:p>
      <w:pPr>
        <w:widowControl/>
        <w:spacing w:after="100" w:line="264" w:lineRule="auto"/>
      </w:pPr>
      <w:r>
        <w:rPr>
          <w:rFonts w:ascii="Arial" w:hAnsi="Arial"/>
          <w:b/>
          <w:color w:val="07878A"/>
          <w:sz w:val="18"/>
        </w:rPr>
        <w:t xml:space="preserve">Configuration controls  </w:t>
      </w:r>
      <w:r>
        <w:rPr>
          <w:rFonts w:ascii="Arial" w:hAnsi="Arial"/>
          <w:b w:val="0"/>
          <w:color w:val="263B4B"/>
          <w:sz w:val="18"/>
        </w:rPr>
        <w:t>Provider selection, live-call enablement, allowlist enforcement, cooldown, default language, callback URL, and webhook secret are environment-controlled.</w:t>
      </w:r>
    </w:p>
    <w:p>
      <w:pPr>
        <w:widowControl/>
        <w:spacing w:after="100" w:line="264" w:lineRule="auto"/>
      </w:pPr>
      <w:r>
        <w:rPr>
          <w:rFonts w:ascii="Arial" w:hAnsi="Arial"/>
          <w:b/>
          <w:color w:val="07878A"/>
          <w:sz w:val="18"/>
        </w:rPr>
        <w:t xml:space="preserve">Access  </w:t>
      </w:r>
      <w:r>
        <w:rPr>
          <w:rFonts w:ascii="Arial" w:hAnsi="Arial"/>
          <w:b w:val="0"/>
          <w:color w:val="263B4B"/>
          <w:sz w:val="18"/>
        </w:rPr>
        <w:t>Call triggers and resolution actions are protected for administrators.</w:t>
      </w:r>
    </w:p>
    <w:p>
      <w:pPr>
        <w:spacing w:after="160" w:line="269" w:lineRule="auto" w:before="80"/>
        <w:widowControl/>
        <w:ind w:left="144" w:right="144"/>
        <w:pBdr>
          <w:left w:val="single" w:sz="24" w:space="8" w:color="07878A"/>
        </w:pBdr>
        <w:shd w:fill="EDF6F7"/>
      </w:pPr>
      <w:r>
        <w:rPr>
          <w:rFonts w:ascii="Arial" w:hAnsi="Arial"/>
          <w:b/>
          <w:color w:val="07878A"/>
          <w:sz w:val="17"/>
        </w:rPr>
        <w:t xml:space="preserve">NOTE  </w:t>
      </w:r>
      <w:r>
        <w:rPr>
          <w:rFonts w:ascii="Arial" w:hAnsi="Arial"/>
          <w:b w:val="0"/>
          <w:color w:val="263B4B"/>
          <w:sz w:val="18"/>
        </w:rPr>
        <w:t>Live telephony depends on provider account setup, callback reachability, phone permissions, and explicit deployment configuration. A provider file alone does not prove live calls are enabled in production.</w:t>
      </w:r>
    </w:p>
    <w:p>
      <w:pPr>
        <w:pStyle w:val="Heading1"/>
        <w:keepNext/>
        <w:widowControl/>
        <w:spacing w:before="240" w:after="100"/>
        <w:pBdr>
          <w:bottom w:val="single" w:sz="5" w:space="4" w:color="D5E3E8"/>
        </w:pBdr>
      </w:pPr>
      <w:r>
        <w:rPr>
          <w:rFonts w:ascii="Arial" w:hAnsi="Arial"/>
          <w:b/>
          <w:color w:val="103651"/>
          <w:sz w:val="26"/>
        </w:rPr>
        <w:t>Incident reporting and verification</w:t>
      </w:r>
    </w:p>
    <w:p>
      <w:pPr>
        <w:widowControl/>
        <w:spacing w:after="100" w:line="264" w:lineRule="auto"/>
      </w:pPr>
      <w:r>
        <w:rPr>
          <w:rFonts w:ascii="Arial" w:hAnsi="Arial"/>
          <w:b w:val="0"/>
          <w:color w:val="263B4B"/>
          <w:sz w:val="18"/>
        </w:rPr>
        <w:t>The portal offers field reporting and an incident image verification path. The server includes multipart upload handling and an optional Groq vision configuration. Verification availability and model output depend on credentials and provider behavior; treat AI verification as supporting evidence for human review.</w:t>
      </w:r>
    </w:p>
    <w:p>
      <w:pPr>
        <w:pStyle w:val="ListBullet"/>
        <w:widowControl/>
        <w:spacing w:after="60" w:line="259" w:lineRule="auto"/>
        <w:ind w:left="432" w:hanging="245"/>
      </w:pPr>
      <w:r>
        <w:rPr>
          <w:rFonts w:ascii="Arial" w:hAnsi="Arial"/>
          <w:b w:val="0"/>
          <w:color w:val="263B4B"/>
          <w:sz w:val="18"/>
        </w:rPr>
        <w:t>Incidents carry source/reporting metadata and can be shown in an administrative workflow.</w:t>
      </w:r>
    </w:p>
    <w:p>
      <w:pPr>
        <w:pStyle w:val="ListBullet"/>
        <w:widowControl/>
        <w:spacing w:after="60" w:line="259" w:lineRule="auto"/>
        <w:ind w:left="432" w:hanging="245"/>
      </w:pPr>
      <w:r>
        <w:rPr>
          <w:rFonts w:ascii="Arial" w:hAnsi="Arial"/>
          <w:b w:val="0"/>
          <w:color w:val="263B4B"/>
          <w:sz w:val="18"/>
        </w:rPr>
        <w:t>The current code includes in-memory operational collections for some alert/incident flows; durable persistence should be confirmed per endpoint before promising long-term retention.</w:t>
      </w:r>
    </w:p>
    <w:p>
      <w:pPr>
        <w:pStyle w:val="Heading1"/>
        <w:keepNext/>
        <w:widowControl/>
        <w:spacing w:before="240" w:after="100"/>
        <w:pBdr>
          <w:bottom w:val="single" w:sz="5" w:space="4" w:color="D5E3E8"/>
        </w:pBdr>
      </w:pPr>
      <w:r>
        <w:rPr>
          <w:rFonts w:ascii="Arial" w:hAnsi="Arial"/>
          <w:b/>
          <w:color w:val="103651"/>
          <w:sz w:val="26"/>
        </w:rPr>
        <w:t>Progressive web app and resilience</w:t>
      </w:r>
    </w:p>
    <w:p>
      <w:pPr>
        <w:pStyle w:val="ListBullet"/>
        <w:widowControl/>
        <w:spacing w:after="60" w:line="259" w:lineRule="auto"/>
        <w:ind w:left="432" w:hanging="245"/>
      </w:pPr>
      <w:r>
        <w:rPr>
          <w:rFonts w:ascii="Arial" w:hAnsi="Arial"/>
          <w:b w:val="0"/>
          <w:color w:val="263B4B"/>
          <w:sz w:val="18"/>
        </w:rPr>
        <w:t>Manifest and icon assets support installable app behavior.</w:t>
      </w:r>
    </w:p>
    <w:p>
      <w:pPr>
        <w:pStyle w:val="ListBullet"/>
        <w:widowControl/>
        <w:spacing w:after="60" w:line="259" w:lineRule="auto"/>
        <w:ind w:left="432" w:hanging="245"/>
      </w:pPr>
      <w:r>
        <w:rPr>
          <w:rFonts w:ascii="Arial" w:hAnsi="Arial"/>
          <w:b w:val="0"/>
          <w:color w:val="263B4B"/>
          <w:sz w:val="18"/>
        </w:rPr>
        <w:t>Network status and install prompt components help users understand connectivity/install state.</w:t>
      </w:r>
    </w:p>
    <w:p>
      <w:pPr>
        <w:pStyle w:val="ListBullet"/>
        <w:widowControl/>
        <w:spacing w:after="60" w:line="259" w:lineRule="auto"/>
        <w:ind w:left="432" w:hanging="245"/>
      </w:pPr>
      <w:r>
        <w:rPr>
          <w:rFonts w:ascii="Arial" w:hAnsi="Arial"/>
          <w:b w:val="0"/>
          <w:color w:val="263B4B"/>
          <w:sz w:val="18"/>
        </w:rPr>
        <w:t>Repository acceptance files cover mobile/PWA behavior; actual offline data synchronization guarantees are not established by the document review.</w:t>
      </w:r>
    </w:p>
    <w:p>
      <w:pPr>
        <w:pStyle w:val="Heading1"/>
        <w:keepNext/>
        <w:widowControl/>
        <w:spacing w:before="240" w:after="100"/>
        <w:pBdr>
          <w:bottom w:val="single" w:sz="5" w:space="4" w:color="D5E3E8"/>
        </w:pBdr>
      </w:pPr>
      <w:r>
        <w:rPr>
          <w:rFonts w:ascii="Arial" w:hAnsi="Arial"/>
          <w:b/>
          <w:color w:val="103651"/>
          <w:sz w:val="26"/>
        </w:rPr>
        <w:t>Recommended interpretation for presentations</w:t>
      </w:r>
    </w:p>
    <w:p>
      <w:pPr>
        <w:spacing w:after="100" w:line="264" w:lineRule="auto"/>
        <w:widowControl/>
        <w:shd w:fill="EAF4F5"/>
        <w:ind w:left="140" w:right="140"/>
      </w:pPr>
      <w:r>
        <w:rPr>
          <w:rFonts w:ascii="Arial" w:hAnsi="Arial"/>
          <w:b/>
          <w:color w:val="07878A"/>
          <w:sz w:val="18"/>
        </w:rPr>
        <w:t xml:space="preserve">Describe as  </w:t>
      </w:r>
      <w:r>
        <w:rPr>
          <w:rFonts w:ascii="Arial" w:hAnsi="Arial"/>
          <w:b w:val="0"/>
          <w:color w:val="263B4B"/>
          <w:sz w:val="18"/>
        </w:rPr>
        <w:t>A configurable safety-check workflow, GIS-supported corridor awareness, field reporting, and a PWA-oriented mobile interface.</w:t>
      </w:r>
    </w:p>
    <w:p>
      <w:pPr>
        <w:spacing w:after="160" w:line="269" w:lineRule="auto" w:before="80"/>
        <w:widowControl/>
        <w:ind w:left="144" w:right="144"/>
        <w:pBdr>
          <w:left w:val="single" w:sz="24" w:space="8" w:color="07878A"/>
        </w:pBdr>
        <w:shd w:fill="EDF6F7"/>
      </w:pPr>
      <w:r>
        <w:rPr>
          <w:rFonts w:ascii="Arial" w:hAnsi="Arial"/>
          <w:b/>
          <w:color w:val="07878A"/>
          <w:sz w:val="17"/>
        </w:rPr>
        <w:t xml:space="preserve">NOTE  </w:t>
      </w:r>
      <w:r>
        <w:rPr>
          <w:rFonts w:ascii="Arial" w:hAnsi="Arial"/>
          <w:b w:val="0"/>
          <w:color w:val="263B4B"/>
          <w:sz w:val="18"/>
        </w:rPr>
        <w:t>Avoid claims of continuous GPS tracking, guaranteed optimized routing, autonomous incident adjudication, or fully offline fleet operations unless supported by deployment evidence outside this repository.</w:t>
      </w:r>
    </w:p>
    <w:p>
      <w:pPr>
        <w:pStyle w:val="Heading1"/>
        <w:keepNext/>
        <w:widowControl/>
        <w:spacing w:before="240" w:after="100"/>
        <w:pBdr>
          <w:bottom w:val="single" w:sz="5" w:space="4" w:color="D5E3E8"/>
        </w:pBdr>
      </w:pPr>
      <w:r>
        <w:rPr>
          <w:rFonts w:ascii="Arial" w:hAnsi="Arial"/>
          <w:b/>
          <w:color w:val="103651"/>
          <w:sz w:val="26"/>
        </w:rPr>
        <w:t>Repository basis</w:t>
      </w:r>
    </w:p>
    <w:p>
      <w:pPr>
        <w:widowControl/>
        <w:spacing w:after="160" w:line="269" w:lineRule="auto" w:before="80"/>
        <w:ind w:left="144" w:right="144"/>
        <w:pBdr>
          <w:left w:val="single" w:sz="24" w:space="8" w:color="07878A"/>
        </w:pBdr>
        <w:shd w:fill="EDF6F7"/>
      </w:pPr>
      <w:r>
        <w:rPr>
          <w:rFonts w:ascii="Arial" w:hAnsi="Arial"/>
          <w:b/>
          <w:color w:val="07878A"/>
          <w:sz w:val="17"/>
        </w:rPr>
        <w:t xml:space="preserve">SOURCE BASIS  </w:t>
      </w:r>
      <w:r>
        <w:rPr>
          <w:rFonts w:ascii="Arial" w:hAnsi="Arial"/>
          <w:b w:val="0"/>
          <w:color w:val="263B4B"/>
          <w:sz w:val="18"/>
        </w:rPr>
        <w:t>src/components/RoutePlannerModal.jsx; src/components/MapplsGISMap.jsx; src/components/DistrictAccessibility.jsx; src/components/DriverSafetyModal.jsx; server/voice/*; server/index.js; src/components/IncidentReportingModal.jsx; src/components/common/InstallPromptBanner.jsx; public/manifest and icon assets.</w:t>
      </w:r>
    </w:p>
    <w:p>
      <w:pPr>
        <w:pStyle w:val="Heading1"/>
        <w:keepNext/>
        <w:widowControl/>
        <w:spacing w:before="240" w:after="100"/>
        <w:pBdr>
          <w:bottom w:val="single" w:sz="5" w:space="4" w:color="D5E3E8"/>
        </w:pBdr>
      </w:pPr>
      <w:r>
        <w:rPr>
          <w:rFonts w:ascii="Arial" w:hAnsi="Arial"/>
          <w:b/>
          <w:color w:val="103651"/>
          <w:sz w:val="26"/>
        </w:rPr>
        <w:t>Route and corridor intelligence</w:t>
      </w:r>
    </w:p>
    <w:p>
      <w:pPr>
        <w:widowControl/>
        <w:spacing w:after="100" w:line="264" w:lineRule="auto"/>
      </w:pPr>
      <w:r>
        <w:rPr>
          <w:rFonts w:ascii="Arial" w:hAnsi="Arial"/>
          <w:b w:val="0"/>
          <w:color w:val="263B4B"/>
          <w:sz w:val="18"/>
        </w:rPr>
        <w:t>The route-planning UI calls the backend route-plan endpoint and presents a corridor plan with waypoints and disruption context. The repository contains regional hub coordinates and route-generation logic. Treat the output as decision support; do not describe it as a live traffic guarantee unless a deployed external routing source is confirmed.</w:t>
      </w:r>
    </w:p>
    <w:p>
      <w:pPr>
        <w:pStyle w:val="ListBullet"/>
        <w:widowControl/>
        <w:spacing w:after="60" w:line="259" w:lineRule="auto"/>
        <w:ind w:left="432" w:hanging="245"/>
      </w:pPr>
      <w:r>
        <w:rPr>
          <w:rFonts w:ascii="Arial" w:hAnsi="Arial"/>
          <w:b w:val="0"/>
          <w:color w:val="263B4B"/>
          <w:sz w:val="18"/>
        </w:rPr>
        <w:t>The user-facing intelligence view exposes corridor accessibility and disruption-oriented information.</w:t>
      </w:r>
    </w:p>
    <w:p>
      <w:pPr>
        <w:pStyle w:val="ListBullet"/>
        <w:widowControl/>
        <w:spacing w:after="60" w:line="259" w:lineRule="auto"/>
        <w:ind w:left="432" w:hanging="245"/>
      </w:pPr>
      <w:r>
        <w:rPr>
          <w:rFonts w:ascii="Arial" w:hAnsi="Arial"/>
          <w:b w:val="0"/>
          <w:color w:val="263B4B"/>
          <w:sz w:val="18"/>
        </w:rPr>
        <w:t>District/accessibility components and GIS layers provide a spatial way to inspect regional constraints.</w:t>
      </w:r>
    </w:p>
    <w:p>
      <w:pPr>
        <w:keepLines/>
        <w:widowControl/>
        <w:spacing w:before="100" w:after="100" w:line="264" w:lineRule="auto"/>
        <w:jc w:val="center"/>
      </w:pPr>
      <w:r>
        <w:rPr>
          <w:rFonts w:ascii="Arial" w:hAnsi="Arial"/>
          <w:b w:val="0"/>
          <w:color w:val="263B4B"/>
          <w:sz w:val="18"/>
        </w:rPr>
        <w:drawing>
          <wp:inline xmlns:a="http://schemas.openxmlformats.org/drawingml/2006/main" xmlns:pic="http://schemas.openxmlformats.org/drawingml/2006/picture">
            <wp:extent cx="6172200" cy="1452282"/>
            <wp:docPr id="1" name="Picture 1" descr="ADVANCED OPERATIONAL CAPABILITIES. HUMAN-LED OPERATIONS  |  Capabilities depend on provider and deployment setup" title="Project Brahmaputra workflow di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72200" cy="1452282"/>
                    </a:xfrm>
                    <a:prstGeom prst="rect"/>
                  </pic:spPr>
                </pic:pic>
              </a:graphicData>
            </a:graphic>
          </wp:inline>
        </w:drawing>
      </w:r>
    </w:p>
    <w:sectPr w:rsidR="00FC693F" w:rsidRPr="0006063C" w:rsidSect="00034616">
      <w:headerReference w:type="default" r:id="rId9"/>
      <w:pgSz w:w="12240" w:h="15840"/>
      <w:pgMar w:top="1123" w:right="1181" w:bottom="1037" w:left="1181" w:header="49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b w:val="0"/>
        <w:color w:val="5C7485"/>
        <w:sz w:val="15"/>
      </w:rPr>
      <w:t xml:space="preserve">PROJECT BRAHMAPUTRA  •  PRESENTATION REFERENCE  •  26 SEP 2026     |     </w:t>
    </w:r>
    <w:r>
      <w:rPr>
        <w:rFonts w:ascii="Arial" w:hAnsi="Arial"/>
        <w:b/>
        <w:color w:val="5C7485"/>
        <w:sz w:val="1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20" w:val="left"/>
        <w:tab w:pos="9720" w:val="left"/>
        <w:tab w:pos="9720" w:val="left"/>
        <w:tab w:pos="9720" w:val="left"/>
      </w:tabs>
      <w:spacing w:after="80"/>
      <w:jc w:val="right"/>
      <w:pBdr>
        <w:bottom w:val="single" w:sz="8" w:space="5" w:color="59C5D4"/>
      </w:pBdr>
      <w:pBdr>
        <w:bottom w:val="single" w:sz="8" w:space="5" w:color="59C5D4"/>
      </w:pBdr>
      <w:pBdr>
        <w:bottom w:val="single" w:sz="8" w:space="5" w:color="59C5D4"/>
      </w:pBdr>
      <w:pBdr>
        <w:bottom w:val="single" w:sz="8" w:space="5" w:color="59C5D4"/>
      </w:pBdr>
    </w:pPr>
    <w:r>
      <w:drawing>
        <wp:inline xmlns:a="http://schemas.openxmlformats.org/drawingml/2006/main" xmlns:pic="http://schemas.openxmlformats.org/drawingml/2006/picture">
          <wp:extent cx="265176" cy="265176"/>
          <wp:docPr id="1" name="Picture 1" descr="Brahmaputra smart logistics emblem" title="Project Brahmaputra workflow diagram"/>
          <wp:cNvGraphicFramePr>
            <a:graphicFrameLocks noChangeAspect="1"/>
          </wp:cNvGraphicFramePr>
          <a:graphic>
            <a:graphicData uri="http://schemas.openxmlformats.org/drawingml/2006/picture">
              <pic:pic>
                <pic:nvPicPr>
                  <pic:cNvPr id="0" name="brahmaputra_header.png"/>
                  <pic:cNvPicPr/>
                </pic:nvPicPr>
                <pic:blipFill>
                  <a:blip r:embed="rId2"/>
                  <a:stretch>
                    <a:fillRect/>
                  </a:stretch>
                </pic:blipFill>
                <pic:spPr>
                  <a:xfrm>
                    <a:off x="0" y="0"/>
                    <a:ext cx="265176" cy="265176"/>
                  </a:xfrm>
                  <a:prstGeom prst="rect"/>
                </pic:spPr>
              </pic:pic>
            </a:graphicData>
          </a:graphic>
        </wp:inline>
      </w:drawing>
    </w:r>
    <w:r>
      <w:rPr>
        <w:rFonts w:ascii="Arial" w:hAnsi="Arial"/>
        <w:b/>
        <w:color w:val="103651"/>
        <w:sz w:val="16"/>
      </w:rPr>
      <w:t xml:space="preserve">  PROJECT BRAHMAPUTRA  |  SMART LOGISTICS &amp; CONNECTED 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324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38A8A"/>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432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3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Features</dc:title>
  <dc:subject>Project Brahmaputra | Advanced Features</dc:subject>
  <dc:creator>Project Brahmaputra</dc:creator>
  <cp:keywords>Project Brahmaputra, Smart Logistics, North Eastern Region, technical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