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before="200"/>
      </w:pPr>
      <w:r>
        <w:rPr>
          <w:rFonts w:ascii="Arial" w:hAnsi="Arial"/>
          <w:b/>
          <w:color w:val="07878A"/>
          <w:sz w:val="17"/>
        </w:rPr>
        <w:t>MODULE GUIDE 03</w:t>
      </w:r>
    </w:p>
    <w:p>
      <w:pPr>
        <w:keepNext/>
        <w:spacing w:after="60"/>
      </w:pPr>
      <w:r>
        <w:rPr>
          <w:rFonts w:ascii="Arial" w:hAnsi="Arial"/>
          <w:b/>
          <w:color w:val="103651"/>
          <w:sz w:val="50"/>
        </w:rPr>
        <w:t>Backend &amp; API</w:t>
      </w:r>
    </w:p>
    <w:p>
      <w:pPr>
        <w:keepNext/>
        <w:spacing w:after="200"/>
      </w:pPr>
      <w:r>
        <w:rPr>
          <w:rFonts w:ascii="Arial" w:hAnsi="Arial"/>
          <w:b w:val="0"/>
          <w:color w:val="5C7485"/>
          <w:sz w:val="21"/>
        </w:rPr>
        <w:t>Express routes, identity middleware, repository persistence, and operational workflows</w:t>
      </w:r>
    </w:p>
    <w:p>
      <w:pPr>
        <w:spacing w:after="160" w:line="269" w:lineRule="auto" w:before="80"/>
        <w:ind w:left="144" w:right="144"/>
        <w:pBdr>
          <w:left w:val="single" w:sz="24" w:space="8" w:color="07878A"/>
        </w:pBdr>
        <w:shd w:fill="EDF6F7"/>
      </w:pPr>
      <w:r>
        <w:rPr>
          <w:rFonts w:ascii="Arial" w:hAnsi="Arial"/>
          <w:b/>
          <w:color w:val="07878A"/>
          <w:sz w:val="17"/>
        </w:rPr>
        <w:t xml:space="preserve">EXECUTIVE SUMMARY  </w:t>
      </w:r>
      <w:r>
        <w:rPr>
          <w:rFonts w:ascii="Arial" w:hAnsi="Arial"/>
          <w:b w:val="0"/>
          <w:color w:val="263B4B"/>
          <w:sz w:val="18"/>
        </w:rPr>
        <w:t>The Node/Express service is the portal’s operational API. It handles authentication, scoped fleet/trip operations, regional endpoints, and voice callbacks.</w:t>
      </w:r>
    </w:p>
    <w:p>
      <w:pPr>
        <w:widowControl/>
        <w:spacing w:after="100" w:line="264" w:lineRule="auto"/>
      </w:pPr>
      <w:r>
        <w:rPr>
          <w:rFonts w:ascii="Arial" w:hAnsi="Arial"/>
          <w:b/>
          <w:color w:val="07878A"/>
          <w:sz w:val="18"/>
        </w:rPr>
        <w:t xml:space="preserve">Health  </w:t>
      </w:r>
      <w:r>
        <w:rPr>
          <w:rFonts w:ascii="Arial" w:hAnsi="Arial"/>
          <w:b w:val="0"/>
          <w:color w:val="263B4B"/>
          <w:sz w:val="18"/>
        </w:rPr>
        <w:t>/api/health exposes an operational health response.</w:t>
      </w:r>
    </w:p>
    <w:p>
      <w:pPr>
        <w:pStyle w:val="Heading1"/>
        <w:keepNext/>
        <w:widowControl/>
        <w:spacing w:before="240" w:after="100"/>
        <w:pBdr>
          <w:bottom w:val="single" w:sz="5" w:space="4" w:color="D5E3E8"/>
        </w:pBdr>
      </w:pPr>
      <w:r>
        <w:rPr>
          <w:rFonts w:ascii="Arial" w:hAnsi="Arial"/>
          <w:b/>
          <w:color w:val="103651"/>
          <w:sz w:val="26"/>
        </w:rPr>
        <w:t>API surface by domain</w:t>
      </w:r>
    </w:p>
    <w:p>
      <w:pPr>
        <w:widowControl/>
        <w:spacing w:after="100" w:line="264" w:lineRule="auto"/>
      </w:pPr>
      <w:r>
        <w:rPr>
          <w:rFonts w:ascii="Arial" w:hAnsi="Arial"/>
          <w:b/>
          <w:color w:val="07878A"/>
          <w:sz w:val="18"/>
        </w:rPr>
        <w:t xml:space="preserve">Identity  </w:t>
      </w:r>
      <w:r>
        <w:rPr>
          <w:rFonts w:ascii="Arial" w:hAnsi="Arial"/>
          <w:b w:val="0"/>
          <w:color w:val="263B4B"/>
          <w:sz w:val="18"/>
        </w:rPr>
        <w:t>POST /api/auth/register; POST /api/auth/login; GET /api/auth/me; POST /api/auth/logout.</w:t>
      </w:r>
    </w:p>
    <w:p>
      <w:pPr>
        <w:widowControl/>
        <w:spacing w:after="100" w:line="264" w:lineRule="auto"/>
      </w:pPr>
      <w:r>
        <w:rPr>
          <w:rFonts w:ascii="Arial" w:hAnsi="Arial"/>
          <w:b/>
          <w:color w:val="07878A"/>
          <w:sz w:val="18"/>
        </w:rPr>
        <w:t xml:space="preserve">Incidents and alerts  </w:t>
      </w:r>
      <w:r>
        <w:rPr>
          <w:rFonts w:ascii="Arial" w:hAnsi="Arial"/>
          <w:b w:val="0"/>
          <w:color w:val="263B4B"/>
          <w:sz w:val="18"/>
        </w:rPr>
        <w:t>GET /api/incidents; GET /api/incidents/:id; POST /api/incidents; POST /api/incidents/verify; GET /api/alerts.</w:t>
      </w:r>
    </w:p>
    <w:p>
      <w:pPr>
        <w:widowControl/>
        <w:spacing w:after="100" w:line="264" w:lineRule="auto"/>
      </w:pPr>
      <w:r>
        <w:rPr>
          <w:rFonts w:ascii="Arial" w:hAnsi="Arial"/>
          <w:b/>
          <w:color w:val="07878A"/>
          <w:sz w:val="18"/>
        </w:rPr>
        <w:t xml:space="preserve">Vehicles  </w:t>
      </w:r>
      <w:r>
        <w:rPr>
          <w:rFonts w:ascii="Arial" w:hAnsi="Arial"/>
          <w:b w:val="0"/>
          <w:color w:val="263B4B"/>
          <w:sz w:val="18"/>
        </w:rPr>
        <w:t>GET /api/vehicles; GET /api/vehicles/:id; POST /api/vehicles; PUT /api/vehicles/:id; DELETE /api/vehicles/:id.</w:t>
      </w:r>
    </w:p>
    <w:p>
      <w:pPr>
        <w:widowControl/>
        <w:spacing w:after="100" w:line="264" w:lineRule="auto"/>
      </w:pPr>
      <w:r>
        <w:rPr>
          <w:rFonts w:ascii="Arial" w:hAnsi="Arial"/>
          <w:b/>
          <w:color w:val="07878A"/>
          <w:sz w:val="18"/>
        </w:rPr>
        <w:t xml:space="preserve">Deployments  </w:t>
      </w:r>
      <w:r>
        <w:rPr>
          <w:rFonts w:ascii="Arial" w:hAnsi="Arial"/>
          <w:b w:val="0"/>
          <w:color w:val="263B4B"/>
          <w:sz w:val="18"/>
        </w:rPr>
        <w:t>GET /api/deployments; GET /api/deployments/:id; GET /api/vehicles/:vehicleId/deployments; POST /api/deployments; POST lifecycle actions /start, /complete, /cancel.</w:t>
      </w:r>
    </w:p>
    <w:p>
      <w:pPr>
        <w:widowControl/>
        <w:spacing w:after="100" w:line="264" w:lineRule="auto"/>
      </w:pPr>
      <w:r>
        <w:rPr>
          <w:rFonts w:ascii="Arial" w:hAnsi="Arial"/>
          <w:b/>
          <w:color w:val="07878A"/>
          <w:sz w:val="18"/>
        </w:rPr>
        <w:t xml:space="preserve">Intelligence and operations  </w:t>
      </w:r>
      <w:r>
        <w:rPr>
          <w:rFonts w:ascii="Arial" w:hAnsi="Arial"/>
          <w:b w:val="0"/>
          <w:color w:val="263B4B"/>
          <w:sz w:val="18"/>
        </w:rPr>
        <w:t>POST /api/routes/plan; GET /api/kpis; GET /api/weather.</w:t>
      </w:r>
    </w:p>
    <w:p>
      <w:pPr>
        <w:widowControl/>
        <w:spacing w:after="100" w:line="264" w:lineRule="auto"/>
      </w:pPr>
      <w:r>
        <w:rPr>
          <w:rFonts w:ascii="Arial" w:hAnsi="Arial"/>
          <w:b/>
          <w:color w:val="07878A"/>
          <w:sz w:val="18"/>
        </w:rPr>
        <w:t xml:space="preserve">Voice safety  </w:t>
      </w:r>
      <w:r>
        <w:rPr>
          <w:rFonts w:ascii="Arial" w:hAnsi="Arial"/>
          <w:b w:val="0"/>
          <w:color w:val="263B4B"/>
          <w:sz w:val="18"/>
        </w:rPr>
        <w:t>/api/voice configuration, flagging, call trigger/list/detail/resolve/simulation, and status/speech webhooks.</w:t>
      </w:r>
    </w:p>
    <w:p>
      <w:pPr>
        <w:pStyle w:val="Heading1"/>
        <w:keepNext/>
        <w:widowControl/>
        <w:spacing w:before="240" w:after="100"/>
        <w:pBdr>
          <w:bottom w:val="single" w:sz="5" w:space="4" w:color="D5E3E8"/>
        </w:pBdr>
      </w:pPr>
      <w:r>
        <w:rPr>
          <w:rFonts w:ascii="Arial" w:hAnsi="Arial"/>
          <w:b/>
          <w:color w:val="103651"/>
          <w:sz w:val="26"/>
        </w:rPr>
        <w:t>Identity and ownership enforcement</w:t>
      </w:r>
    </w:p>
    <w:p>
      <w:pPr>
        <w:pStyle w:val="ListBullet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Passwords are hashed with bcryptjs; JWTs carry a minimal identity/role payload and are verified by middleware.</w:t>
      </w:r>
    </w:p>
    <w:p>
      <w:pPr>
        <w:pStyle w:val="ListBullet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Middleware reloads the account and rejects inactive users; a safe profile is attached to the request.</w:t>
      </w:r>
    </w:p>
    <w:p>
      <w:pPr>
        <w:pStyle w:val="ListBullet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Public registration forces USER role; administrator provisioning is environment-controlled.</w:t>
      </w:r>
    </w:p>
    <w:p>
      <w:pPr>
        <w:pStyle w:val="ListBullet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User vehicle ownership is derived from req.user.id, and update handlers strip client ownership fields.</w:t>
      </w:r>
    </w:p>
    <w:p>
      <w:pPr>
        <w:pStyle w:val="ListBullet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User access to foreign vehicle/deployment records is concealed with 404 behavior; role denial uses 403.</w:t>
      </w:r>
    </w:p>
    <w:p>
      <w:pPr>
        <w:pStyle w:val="ListBullet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SQL calls in repositories use parameterized query patterns.</w:t>
      </w:r>
    </w:p>
    <w:p>
      <w:pPr>
        <w:pStyle w:val="Heading1"/>
        <w:keepNext/>
        <w:widowControl/>
        <w:spacing w:before="240" w:after="100"/>
        <w:pBdr>
          <w:bottom w:val="single" w:sz="5" w:space="4" w:color="D5E3E8"/>
        </w:pBdr>
      </w:pPr>
      <w:r>
        <w:rPr>
          <w:rFonts w:ascii="Arial" w:hAnsi="Arial"/>
          <w:b/>
          <w:color w:val="103651"/>
          <w:sz w:val="26"/>
        </w:rPr>
        <w:t>Persistence and lifecycle</w:t>
      </w:r>
    </w:p>
    <w:p>
      <w:pPr>
        <w:widowControl/>
        <w:spacing w:after="100" w:line="264" w:lineRule="auto"/>
      </w:pPr>
      <w:r>
        <w:rPr>
          <w:rFonts w:ascii="Arial" w:hAnsi="Arial"/>
          <w:b w:val="0"/>
          <w:color w:val="263B4B"/>
          <w:sz w:val="18"/>
        </w:rPr>
        <w:t>The PostgreSQL schema stores users, vehicles, and deployments with relational constraints. A vehicle has durable identity and can have sequential trip history. Deployment repositories enforce active-state rules and derive user scoping through the parent vehicle. Vehicle deletion is constrained when a safety call, active trip, or historical deployment requires the record to remain.</w:t>
      </w:r>
    </w:p>
    <w:p>
      <w:pPr>
        <w:spacing w:after="160" w:line="269" w:lineRule="auto" w:before="80"/>
        <w:widowControl/>
        <w:ind w:left="144" w:right="144"/>
        <w:pBdr>
          <w:left w:val="single" w:sz="24" w:space="8" w:color="07878A"/>
        </w:pBdr>
        <w:shd w:fill="EDF6F7"/>
      </w:pPr>
      <w:r>
        <w:rPr>
          <w:rFonts w:ascii="Arial" w:hAnsi="Arial"/>
          <w:b/>
          <w:color w:val="07878A"/>
          <w:sz w:val="17"/>
        </w:rPr>
        <w:t xml:space="preserve">NOTE  </w:t>
      </w:r>
      <w:r>
        <w:rPr>
          <w:rFonts w:ascii="Arial" w:hAnsi="Arial"/>
          <w:b w:val="0"/>
          <w:color w:val="263B4B"/>
          <w:sz w:val="18"/>
        </w:rPr>
        <w:t>When DATABASE_URL is absent, memory mode is intentionally non-durable and should not be presented as production persistence. When a database URL is configured but unavailable, the project decision log specifies fail-fast startup.</w:t>
      </w:r>
    </w:p>
    <w:p>
      <w:pPr>
        <w:pStyle w:val="Heading1"/>
        <w:keepNext/>
        <w:widowControl/>
        <w:spacing w:before="240" w:after="100"/>
        <w:pBdr>
          <w:bottom w:val="single" w:sz="5" w:space="4" w:color="D5E3E8"/>
        </w:pBdr>
      </w:pPr>
      <w:r>
        <w:rPr>
          <w:rFonts w:ascii="Arial" w:hAnsi="Arial"/>
          <w:b/>
          <w:color w:val="103651"/>
          <w:sz w:val="26"/>
        </w:rPr>
        <w:t>Response and error conventions</w:t>
      </w:r>
    </w:p>
    <w:p>
      <w:pPr>
        <w:pStyle w:val="ListBullet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The API generally returns JSON envelopes with success and data/count fields.</w:t>
      </w:r>
    </w:p>
    <w:p>
      <w:pPr>
        <w:pStyle w:val="ListBullet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Validation and lifecycle conflicts use client error codes such as 400 or 409; missing/unauthorized scoped records use 404.</w:t>
      </w:r>
    </w:p>
    <w:p>
      <w:pPr>
        <w:pStyle w:val="ListBullet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The shared frontend service adds bearer authorization, applies request timeouts, parses API error messages, and supports multipart form data.</w:t>
      </w:r>
    </w:p>
    <w:p>
      <w:pPr>
        <w:pStyle w:val="Heading1"/>
        <w:keepNext/>
        <w:widowControl/>
        <w:spacing w:before="240" w:after="100"/>
        <w:pBdr>
          <w:bottom w:val="single" w:sz="5" w:space="4" w:color="D5E3E8"/>
        </w:pBdr>
      </w:pPr>
      <w:r>
        <w:rPr>
          <w:rFonts w:ascii="Arial" w:hAnsi="Arial"/>
          <w:b/>
          <w:color w:val="103651"/>
          <w:sz w:val="26"/>
        </w:rPr>
        <w:t>Repository basis</w:t>
      </w:r>
    </w:p>
    <w:p>
      <w:pPr>
        <w:widowControl/>
        <w:spacing w:after="160" w:line="269" w:lineRule="auto" w:before="80"/>
        <w:ind w:left="144" w:right="144"/>
        <w:pBdr>
          <w:left w:val="single" w:sz="24" w:space="8" w:color="07878A"/>
        </w:pBdr>
        <w:shd w:fill="EDF6F7"/>
      </w:pPr>
      <w:r>
        <w:rPr>
          <w:rFonts w:ascii="Arial" w:hAnsi="Arial"/>
          <w:b/>
          <w:color w:val="07878A"/>
          <w:sz w:val="17"/>
        </w:rPr>
        <w:t xml:space="preserve">SOURCE BASIS  </w:t>
      </w:r>
      <w:r>
        <w:rPr>
          <w:rFonts w:ascii="Arial" w:hAnsi="Arial"/>
          <w:b w:val="0"/>
          <w:color w:val="263B4B"/>
          <w:sz w:val="18"/>
        </w:rPr>
        <w:t>server/index.js; server/auth/authMiddleware.js; server/auth/authUtils.js; server/db/schema.js; server/db/db.js; server/db/vehicleRepository.js; server/db/deploymentRepository.js; server/db/userRepository.js; src/services/api.js; .env.example.</w:t>
      </w:r>
    </w:p>
    <w:p>
      <w:pPr>
        <w:pStyle w:val="Heading1"/>
        <w:keepNext/>
        <w:widowControl/>
        <w:spacing w:before="240" w:after="100"/>
        <w:pBdr>
          <w:bottom w:val="single" w:sz="5" w:space="4" w:color="D5E3E8"/>
        </w:pBdr>
      </w:pPr>
      <w:r>
        <w:rPr>
          <w:rFonts w:ascii="Arial" w:hAnsi="Arial"/>
          <w:b/>
          <w:color w:val="103651"/>
          <w:sz w:val="26"/>
        </w:rPr>
        <w:t>Runtime architecture</w:t>
      </w:r>
    </w:p>
    <w:p>
      <w:pPr>
        <w:widowControl/>
        <w:spacing w:after="100" w:line="264" w:lineRule="auto"/>
      </w:pPr>
      <w:r>
        <w:rPr>
          <w:rFonts w:ascii="Arial" w:hAnsi="Arial"/>
          <w:b w:val="0"/>
          <w:color w:val="263B4B"/>
          <w:sz w:val="18"/>
        </w:rPr>
        <w:t>server/index.js initializes Express middleware and API routes, wires repository instances, initializes persistence, and serves the built frontend when present. PostgreSQL access is centralized behind repository modules. The browser API client uses a configurable base URL and JSON/multipart requests.</w:t>
      </w:r>
    </w:p>
    <w:p>
      <w:pPr>
        <w:widowControl/>
        <w:spacing w:after="100" w:line="264" w:lineRule="auto"/>
      </w:pPr>
      <w:r>
        <w:rPr>
          <w:rFonts w:ascii="Arial" w:hAnsi="Arial"/>
          <w:b/>
          <w:color w:val="07878A"/>
          <w:sz w:val="18"/>
        </w:rPr>
        <w:t xml:space="preserve">Framework  </w:t>
      </w:r>
      <w:r>
        <w:rPr>
          <w:rFonts w:ascii="Arial" w:hAnsi="Arial"/>
          <w:b w:val="0"/>
          <w:color w:val="263B4B"/>
          <w:sz w:val="18"/>
        </w:rPr>
        <w:t>Node.js ES modules, Express 5, and node-postgres.</w:t>
      </w:r>
    </w:p>
    <w:p>
      <w:pPr>
        <w:widowControl/>
        <w:spacing w:after="100" w:line="264" w:lineRule="auto"/>
      </w:pPr>
      <w:r>
        <w:rPr>
          <w:rFonts w:ascii="Arial" w:hAnsi="Arial"/>
          <w:b/>
          <w:color w:val="07878A"/>
          <w:sz w:val="18"/>
        </w:rPr>
        <w:t xml:space="preserve">Persistence modes  </w:t>
      </w:r>
      <w:r>
        <w:rPr>
          <w:rFonts w:ascii="Arial" w:hAnsi="Arial"/>
          <w:b w:val="0"/>
          <w:color w:val="263B4B"/>
          <w:sz w:val="18"/>
        </w:rPr>
        <w:t>PostgreSQL when DATABASE_URL is configured; in-memory repositories when it is absent for development/testing.</w:t>
      </w:r>
    </w:p>
    <w:p>
      <w:pPr>
        <w:keepLines/>
        <w:widowControl/>
        <w:spacing w:before="100" w:after="100" w:line="264" w:lineRule="auto"/>
        <w:jc w:val="center"/>
      </w:pPr>
      <w:r>
        <w:rPr>
          <w:rFonts w:ascii="Arial" w:hAnsi="Arial"/>
          <w:b w:val="0"/>
          <w:color w:val="263B4B"/>
          <w:sz w:val="18"/>
        </w:rPr>
        <w:drawing>
          <wp:inline xmlns:a="http://schemas.openxmlformats.org/drawingml/2006/main" xmlns:pic="http://schemas.openxmlformats.org/drawingml/2006/picture">
            <wp:extent cx="6172200" cy="1452282"/>
            <wp:docPr id="1" name="Picture 1" descr="OPERATIONAL REQUEST PATH. DOMAIN GROUPS  |  Identity, vehicles, deployments, incidents, route/KPIs, and voice safety" title="Project Brahmaputra workflow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5228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pgSz w:w="12240" w:h="15840"/>
      <w:pgMar w:top="1123" w:right="1181" w:bottom="1037" w:left="1181" w:header="490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rial" w:hAnsi="Arial"/>
        <w:b w:val="0"/>
        <w:color w:val="5C7485"/>
        <w:sz w:val="15"/>
      </w:rPr>
      <w:t xml:space="preserve">PROJECT BRAHMAPUTRA  •  PRESENTATION REFERENCE  •  26 SEP 2026     |     </w:t>
    </w:r>
    <w:r>
      <w:rPr>
        <w:rFonts w:ascii="Arial" w:hAnsi="Arial"/>
        <w:b/>
        <w:color w:val="5C7485"/>
        <w:sz w:val="15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720" w:val="left"/>
        <w:tab w:pos="9720" w:val="left"/>
        <w:tab w:pos="9720" w:val="left"/>
        <w:tab w:pos="9720" w:val="left"/>
      </w:tabs>
      <w:spacing w:after="80"/>
      <w:jc w:val="right"/>
      <w:pBdr>
        <w:bottom w:val="single" w:sz="8" w:space="5" w:color="59C5D4"/>
      </w:pBdr>
      <w:pBdr>
        <w:bottom w:val="single" w:sz="8" w:space="5" w:color="59C5D4"/>
      </w:pBdr>
      <w:pBdr>
        <w:bottom w:val="single" w:sz="8" w:space="5" w:color="59C5D4"/>
      </w:pBdr>
      <w:pBdr>
        <w:bottom w:val="single" w:sz="8" w:space="5" w:color="59C5D4"/>
      </w:pBdr>
    </w:pPr>
    <w:r>
      <w:drawing>
        <wp:inline xmlns:a="http://schemas.openxmlformats.org/drawingml/2006/main" xmlns:pic="http://schemas.openxmlformats.org/drawingml/2006/picture">
          <wp:extent cx="265176" cy="265176"/>
          <wp:docPr id="1" name="Picture 1" descr="Brahmaputra smart logistics emblem" title="Project Brahmaputra workflow diagram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hmaputra_header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65176" cy="265176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03651"/>
        <w:sz w:val="16"/>
      </w:rPr>
      <w:t xml:space="preserve">  PROJECT BRAHMAPUTRA  |  SMART LOGISTICS &amp; CONNECTED 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6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8A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324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03" w:hanging="230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03" w:hanging="230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Backend &amp; API</dc:title>
  <dc:subject>Project Brahmaputra | Backend &amp; API</dc:subject>
  <dc:creator>Project Brahmaputra</dc:creator>
  <cp:keywords>Project Brahmaputra, Smart Logistics, North Eastern Region, technical documentation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