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200"/>
      </w:pPr>
      <w:r>
        <w:rPr>
          <w:rFonts w:ascii="Arial" w:hAnsi="Arial"/>
          <w:b/>
          <w:color w:val="07878A"/>
          <w:sz w:val="17"/>
        </w:rPr>
        <w:t>MODULE GUIDE 04</w:t>
      </w:r>
    </w:p>
    <w:p>
      <w:pPr>
        <w:keepNext/>
        <w:spacing w:after="60"/>
      </w:pPr>
      <w:r>
        <w:rPr>
          <w:rFonts w:ascii="Arial" w:hAnsi="Arial"/>
          <w:b/>
          <w:color w:val="103651"/>
          <w:sz w:val="50"/>
        </w:rPr>
        <w:t>Data Ingestion &amp; Intelligence Pipeline</w:t>
      </w:r>
    </w:p>
    <w:p>
      <w:pPr>
        <w:keepNext/>
        <w:spacing w:after="200"/>
      </w:pPr>
      <w:r>
        <w:rPr>
          <w:rFonts w:ascii="Arial" w:hAnsi="Arial"/>
          <w:b w:val="0"/>
          <w:color w:val="5C7485"/>
          <w:sz w:val="21"/>
        </w:rPr>
        <w:t>From source adapters to canonical transportation events and impact signals</w:t>
      </w:r>
    </w:p>
    <w:p>
      <w:pPr>
        <w:spacing w:after="160" w:line="269" w:lineRule="auto" w:before="80"/>
        <w:ind w:left="144" w:right="144"/>
        <w:pBdr>
          <w:left w:val="single" w:sz="24" w:space="8" w:color="07878A"/>
        </w:pBdr>
        <w:shd w:fill="EDF6F7"/>
      </w:pPr>
      <w:r>
        <w:rPr>
          <w:rFonts w:ascii="Arial" w:hAnsi="Arial"/>
          <w:b/>
          <w:color w:val="07878A"/>
          <w:sz w:val="17"/>
        </w:rPr>
        <w:t xml:space="preserve">EXECUTIVE SUMMARY  </w:t>
      </w:r>
      <w:r>
        <w:rPr>
          <w:rFonts w:ascii="Arial" w:hAnsi="Arial"/>
          <w:b w:val="0"/>
          <w:color w:val="263B4B"/>
          <w:sz w:val="18"/>
        </w:rPr>
        <w:t>The Python backend package provides a modular pipeline for source collection, document normalization, event extraction, geolocation, impact assessment, clustering, and lifecycle management.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 xml:space="preserve">Filter — </w:t>
      </w:r>
      <w:r>
        <w:rPr>
          <w:rFonts w:ascii="Arial" w:hAnsi="Arial"/>
          <w:b w:val="0"/>
          <w:color w:val="263B4B"/>
          <w:sz w:val="18"/>
        </w:rPr>
        <w:t>Relevance scoring applies a configurable threshold before event extraction.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 xml:space="preserve">Extract — </w:t>
      </w:r>
      <w:r>
        <w:rPr>
          <w:rFonts w:ascii="Arial" w:hAnsi="Arial"/>
          <w:b w:val="0"/>
          <w:color w:val="263B4B"/>
          <w:sz w:val="18"/>
        </w:rPr>
        <w:t>Named entity, temporal, event type, and cause logic creates candidate canonical events. LLM fallback is configurable and disabled by default in settings.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 xml:space="preserve">Enrich — </w:t>
      </w:r>
      <w:r>
        <w:rPr>
          <w:rFonts w:ascii="Arial" w:hAnsi="Arial"/>
          <w:b w:val="0"/>
          <w:color w:val="263B4B"/>
          <w:sz w:val="18"/>
        </w:rPr>
        <w:t>Geolocation, accessibility, impacts, and severity analyzers attach structured context.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 xml:space="preserve">Cluster and maintain — </w:t>
      </w:r>
      <w:r>
        <w:rPr>
          <w:rFonts w:ascii="Arial" w:hAnsi="Arial"/>
          <w:b w:val="0"/>
          <w:color w:val="263B4B"/>
          <w:sz w:val="18"/>
        </w:rPr>
        <w:t>Similar candidates are clustered with active events; event lifecycle rules evaluate status and repositories persist updates.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Components and data model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Adapters live under backend/app/ingestion/adapters; common adapter contract is in ingestion/base.py.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Processing stages live under backend/app/processing, including cleaning, deduplication, filtering, NER, temporal extraction, event extraction, geolocation, accessibility, impact, severity, and clustering.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SQLAlchemy models and repositories represent raw documents, normalized documents, sources, locations, events, and impacts.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Alembic migration and Docker Compose configuration are included; settings expose Postgres, Redis, source polling intervals, processing thresholds, and optional LLM settings.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Execution and scheduling</w:t>
      </w:r>
    </w:p>
    <w:p>
      <w:pPr>
        <w:widowControl/>
        <w:spacing w:after="100" w:line="264" w:lineRule="auto"/>
      </w:pPr>
      <w:r>
        <w:rPr>
          <w:rFonts w:ascii="Arial" w:hAnsi="Arial"/>
          <w:b w:val="0"/>
          <w:color w:val="263B4B"/>
          <w:sz w:val="18"/>
        </w:rPr>
        <w:t>Typer CLI groups expose ingest, process, event, source, job, and diagnostic commands. Worker helpers enqueue source-ingestion and processing jobs through Redis/RQ dependencies. Orchestration connects adapters and processing services.</w:t>
      </w:r>
    </w:p>
    <w:p>
      <w:pPr>
        <w:spacing w:after="160" w:line="269" w:lineRule="auto" w:before="80"/>
        <w:widowControl/>
        <w:ind w:left="144" w:right="144"/>
        <w:pBdr>
          <w:left w:val="single" w:sz="24" w:space="8" w:color="07878A"/>
        </w:pBdr>
        <w:shd w:fill="EDF6F7"/>
      </w:pPr>
      <w:r>
        <w:rPr>
          <w:rFonts w:ascii="Arial" w:hAnsi="Arial"/>
          <w:b/>
          <w:color w:val="07878A"/>
          <w:sz w:val="17"/>
        </w:rPr>
        <w:t xml:space="preserve">NOTE  </w:t>
      </w:r>
      <w:r>
        <w:rPr>
          <w:rFonts w:ascii="Arial" w:hAnsi="Arial"/>
          <w:b w:val="0"/>
          <w:color w:val="263B4B"/>
          <w:sz w:val="18"/>
        </w:rPr>
        <w:t>The CLI run command currently prints start/complete messages with a TODO-level comment indicating the workflow will later call orchestration. Treat it as a scaffold, not proof that a single production command runs the complete pipeline.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Implementation status and integration boundaries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The Python package is independent of the Node/React API in the inspected repository; no Python HTTP routes were found.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The orchestration code uses a placeholder all-zero source UUID for raw-document persistence. Source-row lifecycle/configuration must be completed for production ingestion.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Geolocation calls Nominatim through geopy and can fail or time out; external-service use needs appropriate operational limits and policy.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Rule-based classification and severity are transparent but heuristic; model-assisted extraction is optional, not guaranteed.</w:t>
      </w:r>
    </w:p>
    <w:p>
      <w:pPr>
        <w:pStyle w:val="ListBullet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>The project contains pipeline modules, but this documentation review did not execute external source calls or database persistence.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Presentation framing</w:t>
      </w:r>
    </w:p>
    <w:p>
      <w:pPr>
        <w:spacing w:after="100" w:line="264" w:lineRule="auto"/>
        <w:widowControl/>
        <w:shd w:fill="EAF4F5"/>
        <w:ind w:left="140" w:right="140"/>
      </w:pPr>
      <w:r>
        <w:rPr>
          <w:rFonts w:ascii="Arial" w:hAnsi="Arial"/>
          <w:b/>
          <w:color w:val="07878A"/>
          <w:sz w:val="18"/>
        </w:rPr>
        <w:t xml:space="preserve">Slide-ready message  </w:t>
      </w:r>
      <w:r>
        <w:rPr>
          <w:rFonts w:ascii="Arial" w:hAnsi="Arial"/>
          <w:b w:val="0"/>
          <w:color w:val="263B4B"/>
          <w:sz w:val="18"/>
        </w:rPr>
        <w:t>A modular event-intelligence pipeline can transform multi-source public and transport data into normalized, geolocated, severity-ranked corridor events; source integration and portal delivery remain separate deployment concerns.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Repository basis</w:t>
      </w:r>
    </w:p>
    <w:p>
      <w:pPr>
        <w:widowControl/>
        <w:spacing w:after="160" w:line="269" w:lineRule="auto" w:before="80"/>
        <w:ind w:left="144" w:right="144"/>
        <w:pBdr>
          <w:left w:val="single" w:sz="24" w:space="8" w:color="07878A"/>
        </w:pBdr>
        <w:shd w:fill="EDF6F7"/>
      </w:pPr>
      <w:r>
        <w:rPr>
          <w:rFonts w:ascii="Arial" w:hAnsi="Arial"/>
          <w:b/>
          <w:color w:val="07878A"/>
          <w:sz w:val="17"/>
        </w:rPr>
        <w:t xml:space="preserve">SOURCE BASIS  </w:t>
      </w:r>
      <w:r>
        <w:rPr>
          <w:rFonts w:ascii="Arial" w:hAnsi="Arial"/>
          <w:b w:val="0"/>
          <w:color w:val="263B4B"/>
          <w:sz w:val="18"/>
        </w:rPr>
        <w:t>backend/app/ingestion/*; backend/app/processing/*; backend/app/services/orchestration.py; backend/app/workers/jobs.py; backend/app/cli.py; backend/app/cli_commands/*; backend/app/models/*; backend/app/repositories/*; backend/app/core/config.py; backend/alembic/*; backend/docker-compose.yml.</w:t>
      </w:r>
    </w:p>
    <w:p>
      <w:pPr>
        <w:pStyle w:val="Heading1"/>
        <w:keepNext/>
        <w:widowControl/>
        <w:spacing w:before="240" w:after="100"/>
        <w:pBdr>
          <w:bottom w:val="single" w:sz="5" w:space="4" w:color="D5E3E8"/>
        </w:pBdr>
      </w:pPr>
      <w:r>
        <w:rPr>
          <w:rFonts w:ascii="Arial" w:hAnsi="Arial"/>
          <w:b/>
          <w:color w:val="103651"/>
          <w:sz w:val="26"/>
        </w:rPr>
        <w:t>Pipeline stages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 xml:space="preserve">Acquire — </w:t>
      </w:r>
      <w:r>
        <w:rPr>
          <w:rFonts w:ascii="Arial" w:hAnsi="Arial"/>
          <w:b w:val="0"/>
          <w:color w:val="263B4B"/>
          <w:sz w:val="18"/>
        </w:rPr>
        <w:t>Async source adapters are defined for GDELT, PIB, IMD, NHAI, and AAI. Each adapter exposes fetch and health-check behavior.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 xml:space="preserve">Persist raw evidence — </w:t>
      </w:r>
      <w:r>
        <w:rPr>
          <w:rFonts w:ascii="Arial" w:hAnsi="Arial"/>
          <w:b w:val="0"/>
          <w:color w:val="263B4B"/>
          <w:sz w:val="18"/>
        </w:rPr>
        <w:t>Raw documents retain source URL, title, content, metadata, publication time, and fetch time.</w:t>
      </w:r>
    </w:p>
    <w:p>
      <w:pPr>
        <w:pStyle w:val="ListNumber"/>
        <w:widowControl/>
        <w:spacing w:after="60" w:line="259" w:lineRule="auto"/>
        <w:ind w:left="432" w:hanging="245"/>
      </w:pPr>
      <w:r>
        <w:rPr>
          <w:rFonts w:ascii="Arial" w:hAnsi="Arial"/>
          <w:b w:val="0"/>
          <w:color w:val="263B4B"/>
          <w:sz w:val="18"/>
        </w:rPr>
        <w:t xml:space="preserve">Clean and deduplicate — </w:t>
      </w:r>
      <w:r>
        <w:rPr>
          <w:rFonts w:ascii="Arial" w:hAnsi="Arial"/>
          <w:b w:val="0"/>
          <w:color w:val="263B4B"/>
          <w:sz w:val="18"/>
        </w:rPr>
        <w:t>Text cleaning and duplicate detection reduce repeated or malformed input.</w:t>
      </w:r>
    </w:p>
    <w:p>
      <w:pPr>
        <w:keepLines/>
        <w:widowControl/>
        <w:spacing w:before="100" w:after="100" w:line="264" w:lineRule="auto"/>
        <w:jc w:val="center"/>
      </w:pPr>
      <w:r>
        <w:rPr>
          <w:rFonts w:ascii="Arial" w:hAnsi="Arial"/>
          <w:b w:val="0"/>
          <w:color w:val="263B4B"/>
          <w:sz w:val="18"/>
        </w:rPr>
        <w:drawing>
          <wp:inline xmlns:a="http://schemas.openxmlformats.org/drawingml/2006/main" xmlns:pic="http://schemas.openxmlformats.org/drawingml/2006/picture">
            <wp:extent cx="6172200" cy="1452282"/>
            <wp:docPr id="1" name="Picture 1" descr="EVENT INTELLIGENCE LIFECYCLE. SEPARATE PYTHON PACKAGE  |  CLI/RQ hooks exist; portal delivery integration is not established" title="Project Brahmaputra workflow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522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123" w:right="1181" w:bottom="1037" w:left="1181" w:header="49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b w:val="0"/>
        <w:color w:val="5C7485"/>
        <w:sz w:val="15"/>
      </w:rPr>
      <w:t xml:space="preserve">PROJECT BRAHMAPUTRA  •  PRESENTATION REFERENCE  •  26 SEP 2026     |     </w:t>
    </w:r>
    <w:r>
      <w:rPr>
        <w:rFonts w:ascii="Arial" w:hAnsi="Arial"/>
        <w:b/>
        <w:color w:val="5C7485"/>
        <w:sz w:val="15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20" w:val="left"/>
        <w:tab w:pos="9720" w:val="left"/>
        <w:tab w:pos="9720" w:val="left"/>
        <w:tab w:pos="9720" w:val="left"/>
      </w:tabs>
      <w:spacing w:after="80"/>
      <w:jc w:val="right"/>
      <w:pBdr>
        <w:bottom w:val="single" w:sz="8" w:space="5" w:color="59C5D4"/>
      </w:pBdr>
      <w:pBdr>
        <w:bottom w:val="single" w:sz="8" w:space="5" w:color="59C5D4"/>
      </w:pBdr>
      <w:pBdr>
        <w:bottom w:val="single" w:sz="8" w:space="5" w:color="59C5D4"/>
      </w:pBdr>
      <w:pBdr>
        <w:bottom w:val="single" w:sz="8" w:space="5" w:color="59C5D4"/>
      </w:pBdr>
    </w:pPr>
    <w:r>
      <w:drawing>
        <wp:inline xmlns:a="http://schemas.openxmlformats.org/drawingml/2006/main" xmlns:pic="http://schemas.openxmlformats.org/drawingml/2006/picture">
          <wp:extent cx="265176" cy="265176"/>
          <wp:docPr id="1" name="Picture 1" descr="Brahmaputra smart logistics emblem" title="Project Brahmaputra workflow diagram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hmaputra_header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65176" cy="26517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03651"/>
        <w:sz w:val="16"/>
      </w:rPr>
      <w:t xml:space="preserve">  PROJECT BRAHMAPUTRA  |  SMART LOGISTICS &amp; CONNECTED 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8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2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3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Ingestion &amp; Intelligence Pipeline</dc:title>
  <dc:subject>Project Brahmaputra | Data Ingestion &amp; Intelligence Pipeline</dc:subject>
  <dc:creator>Project Brahmaputra</dc:creator>
  <cp:keywords>Project Brahmaputra, Smart Logistics, North Eastern Region, technical documentation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