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200"/>
      </w:pPr>
      <w:r>
        <w:rPr>
          <w:rFonts w:ascii="Arial" w:hAnsi="Arial"/>
          <w:b/>
          <w:color w:val="07878A"/>
          <w:sz w:val="17"/>
        </w:rPr>
        <w:t>MODULE GUIDE 05</w:t>
      </w:r>
    </w:p>
    <w:p>
      <w:pPr>
        <w:keepNext/>
        <w:spacing w:after="60"/>
      </w:pPr>
      <w:r>
        <w:rPr>
          <w:rFonts w:ascii="Arial" w:hAnsi="Arial"/>
          <w:b/>
          <w:color w:val="103651"/>
          <w:sz w:val="50"/>
        </w:rPr>
        <w:t>Identity, Security &amp; Data Governance</w:t>
      </w:r>
    </w:p>
    <w:p>
      <w:pPr>
        <w:keepNext/>
        <w:spacing w:after="200"/>
      </w:pPr>
      <w:r>
        <w:rPr>
          <w:rFonts w:ascii="Arial" w:hAnsi="Arial"/>
          <w:b w:val="0"/>
          <w:color w:val="5C7485"/>
          <w:sz w:val="21"/>
        </w:rPr>
        <w:t>Trust boundaries, tenant scoping, operational safeguards, and configuration responsibilities</w:t>
      </w:r>
    </w:p>
    <w:p>
      <w:pPr>
        <w:spacing w:after="160" w:line="269" w:lineRule="auto" w:before="80"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EXECUTIVE SUMMARY  </w:t>
      </w:r>
      <w:r>
        <w:rPr>
          <w:rFonts w:ascii="Arial" w:hAnsi="Arial"/>
          <w:b w:val="0"/>
          <w:color w:val="263B4B"/>
          <w:sz w:val="18"/>
        </w:rPr>
        <w:t>Security is built around server-verified identity, role checks, ownership-derived access, safe serialization, and explicit production configuration.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Registration normalizes email, validates a baseline password length, hashes passwords with bcrypt, and forces the public role to USER.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JWT access tokens are signed with JWT_SECRET; production startup requires an explicitly configured secret per project decision records.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Authenticated requests reload the user record and check account active status rather than trusting role claims alone.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Safe user serialization excludes password hashes and private security fields.</w:t>
      </w:r>
    </w:p>
    <w:p>
      <w:pPr>
        <w:spacing w:after="160" w:line="269" w:lineRule="auto" w:before="80"/>
        <w:widowControl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b w:val="0"/>
          <w:color w:val="263B4B"/>
          <w:sz w:val="18"/>
        </w:rPr>
        <w:t>A development-only default JWT secret exists in code. It is not suitable for production and should never be reused in a live environment.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Authorization and anti-IDOR model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Establish identity — </w:t>
      </w:r>
      <w:r>
        <w:rPr>
          <w:rFonts w:ascii="Arial" w:hAnsi="Arial"/>
          <w:b w:val="0"/>
          <w:color w:val="263B4B"/>
          <w:sz w:val="18"/>
        </w:rPr>
        <w:t>Verify JWT and map the verified user ID to a current account.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Check role — </w:t>
      </w:r>
      <w:r>
        <w:rPr>
          <w:rFonts w:ascii="Arial" w:hAnsi="Arial"/>
          <w:b w:val="0"/>
          <w:color w:val="263B4B"/>
          <w:sz w:val="18"/>
        </w:rPr>
        <w:t>Use role middleware for administrator-only actions such as Track 4 call triggers.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Check ownership — </w:t>
      </w:r>
      <w:r>
        <w:rPr>
          <w:rFonts w:ascii="Arial" w:hAnsi="Arial"/>
          <w:b w:val="0"/>
          <w:color w:val="263B4B"/>
          <w:sz w:val="18"/>
        </w:rPr>
        <w:t>Scope user vehicle reads and writes to owner_user_id matching the verified user.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Derive trip access — </w:t>
      </w:r>
      <w:r>
        <w:rPr>
          <w:rFonts w:ascii="Arial" w:hAnsi="Arial"/>
          <w:b w:val="0"/>
          <w:color w:val="263B4B"/>
          <w:sz w:val="18"/>
        </w:rPr>
        <w:t>Resolve deployment ownership through its associated vehicle.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Minimize disclosure — </w:t>
      </w:r>
      <w:r>
        <w:rPr>
          <w:rFonts w:ascii="Arial" w:hAnsi="Arial"/>
          <w:b w:val="0"/>
          <w:color w:val="263B4B"/>
          <w:sz w:val="18"/>
        </w:rPr>
        <w:t>Return 404 for foreign object identifiers so users cannot enumerate another tenant’s records.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Data integrity and safety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Parameterized database queries reduce SQL injection risk.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User-supplied ownership fields are discarded or replaced with authenticated identity.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Vehicle/trip constraints protect active operations and historical deployment records.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Driver phone logging is masked in relevant operational log messages; API/UI safety views can mask contacts.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Voice controls include an example allowlist enforcement switch, live-call enablement flag, webhook secret, and per-vehicle cooldown.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Configuration governance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Keep JWT, database, voice, and vision provider secrets server-side; never commit populated secrets.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Restrict the VITE map key using provider-side origin/domain rules because frontend variables are shipped to the browser bundle.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Provision initial administrator credentials explicitly; the decision log says startup skips admin provisioning when bootstrap credentials are absent.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Use PostgreSQL for durable deployments. Memory mode is local/test convenience and loses data on process restart.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Review incident, alert, webhook, and location retention behavior in the deployed environment before asserting a retention period.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Security statements suitable for slides</w:t>
      </w:r>
    </w:p>
    <w:p>
      <w:pPr>
        <w:spacing w:after="100" w:line="264" w:lineRule="auto"/>
        <w:widowControl/>
        <w:shd w:fill="EAF4F5"/>
        <w:ind w:left="140" w:right="140"/>
      </w:pPr>
      <w:r>
        <w:rPr>
          <w:rFonts w:ascii="Arial" w:hAnsi="Arial"/>
          <w:b/>
          <w:color w:val="07878A"/>
          <w:sz w:val="18"/>
        </w:rPr>
        <w:t xml:space="preserve">Verified from repository  </w:t>
      </w:r>
      <w:r>
        <w:rPr>
          <w:rFonts w:ascii="Arial" w:hAnsi="Arial"/>
          <w:b w:val="0"/>
          <w:color w:val="263B4B"/>
          <w:sz w:val="18"/>
        </w:rPr>
        <w:t>bcrypt password hashing; JWT authentication; current-account verification; role-based controls; ownership checks; anti-enumeration 404s; safe owner/user projections; parameterized SQL patterns; production JWT configuration guard.</w:t>
      </w:r>
    </w:p>
    <w:p>
      <w:pPr>
        <w:spacing w:after="160" w:line="269" w:lineRule="auto" w:before="80"/>
        <w:widowControl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b w:val="0"/>
          <w:color w:val="263B4B"/>
          <w:sz w:val="18"/>
        </w:rPr>
        <w:t>Repository review is not a penetration test or production configuration audit. Do not translate source-level controls into a claim of external certification or zero risk.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Repository basis</w:t>
      </w:r>
    </w:p>
    <w:p>
      <w:pPr>
        <w:widowControl/>
        <w:spacing w:after="160" w:line="269" w:lineRule="auto" w:before="80"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SOURCE BASIS  </w:t>
      </w:r>
      <w:r>
        <w:rPr>
          <w:rFonts w:ascii="Arial" w:hAnsi="Arial"/>
          <w:b w:val="0"/>
          <w:color w:val="263B4B"/>
          <w:sz w:val="18"/>
        </w:rPr>
        <w:t>server/auth/*; server/index.js; server/db/schema.js; server/db/*Repository.js; server/voice/securityGuardrails.js; .env.example; agent/ACCEPTANCE_CRITERIA.md; agent/DECISIONS.md.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Trust boundaries</w:t>
      </w:r>
    </w:p>
    <w:p>
      <w:pPr>
        <w:spacing w:after="160" w:line="269" w:lineRule="auto" w:before="80"/>
        <w:widowControl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FLOW  </w:t>
      </w:r>
      <w:r>
        <w:rPr>
          <w:rFonts w:ascii="Arial" w:hAnsi="Arial"/>
          <w:b w:val="0"/>
          <w:color w:val="263B4B"/>
          <w:sz w:val="18"/>
        </w:rPr>
        <w:t>Browser and local token storage  →  HTTPS deployment boundary  →  Express authentication middleware  →  repositories and external providers</w:t>
      </w:r>
    </w:p>
    <w:p>
      <w:pPr>
        <w:spacing w:after="160" w:line="269" w:lineRule="auto" w:before="80"/>
        <w:widowControl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b w:val="0"/>
          <w:color w:val="263B4B"/>
          <w:sz w:val="18"/>
        </w:rPr>
        <w:t>The repository configures bearer-token handling in the browser. Production transport security, hosting policies, and browser hardening must be verified in the target environment.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Authentication controls</w:t>
      </w:r>
    </w:p>
    <w:p>
      <w:pPr>
        <w:keepLines/>
        <w:widowControl/>
        <w:spacing w:before="100" w:after="100" w:line="264" w:lineRule="auto"/>
        <w:jc w:val="center"/>
      </w:pPr>
      <w:r>
        <w:rPr>
          <w:rFonts w:ascii="Arial" w:hAnsi="Arial"/>
          <w:b w:val="0"/>
          <w:color w:val="263B4B"/>
          <w:sz w:val="18"/>
        </w:rPr>
        <w:drawing>
          <wp:inline xmlns:a="http://schemas.openxmlformats.org/drawingml/2006/main" xmlns:pic="http://schemas.openxmlformats.org/drawingml/2006/picture">
            <wp:extent cx="6172200" cy="1452282"/>
            <wp:docPr id="1" name="Picture 1" descr="ACCESS CONTROL DECISION PATH. SERVER ENFORCES ACCESS  |  Client guards support navigation; API checks are authoritative" title="Project Brahmaputra work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22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123" w:right="1181" w:bottom="1037" w:left="1181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b w:val="0"/>
        <w:color w:val="5C7485"/>
        <w:sz w:val="15"/>
      </w:rPr>
      <w:t xml:space="preserve">PROJECT BRAHMAPUTRA  •  PRESENTATION REFERENCE  •  26 SEP 2026     |     </w:t>
    </w:r>
    <w:r>
      <w:rPr>
        <w:rFonts w:ascii="Arial" w:hAnsi="Arial"/>
        <w:b/>
        <w:color w:val="5C7485"/>
        <w:sz w:val="15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20" w:val="left"/>
        <w:tab w:pos="9720" w:val="left"/>
        <w:tab w:pos="9720" w:val="left"/>
        <w:tab w:pos="9720" w:val="left"/>
      </w:tabs>
      <w:spacing w:after="80"/>
      <w:jc w:val="right"/>
      <w:pBdr>
        <w:bottom w:val="single" w:sz="8" w:space="5" w:color="59C5D4"/>
      </w:pBdr>
      <w:pBdr>
        <w:bottom w:val="single" w:sz="8" w:space="5" w:color="59C5D4"/>
      </w:pBdr>
      <w:pBdr>
        <w:bottom w:val="single" w:sz="8" w:space="5" w:color="59C5D4"/>
      </w:pBdr>
      <w:pBdr>
        <w:bottom w:val="single" w:sz="8" w:space="5" w:color="59C5D4"/>
      </w:pBdr>
    </w:pPr>
    <w:r>
      <w:drawing>
        <wp:inline xmlns:a="http://schemas.openxmlformats.org/drawingml/2006/main" xmlns:pic="http://schemas.openxmlformats.org/drawingml/2006/picture">
          <wp:extent cx="265176" cy="265176"/>
          <wp:docPr id="1" name="Picture 1" descr="Brahmaputra smart logistics emblem" title="Project Brahmaputra workflow diagram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hmaputra_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65176" cy="26517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03651"/>
        <w:sz w:val="16"/>
      </w:rPr>
      <w:t xml:space="preserve">  PROJECT BRAHMAPUTRA  |  SMART LOGISTICS &amp; CONNECTED 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Identity, Security &amp; Data Governance</dc:title>
  <dc:subject>Project Brahmaputra | Identity, Security &amp; Data Governance</dc:subject>
  <dc:creator>Project Brahmaputra</dc:creator>
  <cp:keywords>Project Brahmaputra, Smart Logistics, North Eastern Region, technical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