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Pr>
        <ns0:drawing>
          <ns2:inline distB="114300" distT="114300" distL="114300" distR="114300">
            <ns2:extent cx="1528763" cy="1956158"/>
            <ns2:effectExtent b="0" l="0" r="0" t="0"/>
            <ns2:docPr id="1" name="image1.png"/>
            <ns3:graphic>
              <ns3:graphicData uri="http://schemas.openxmlformats.org/drawingml/2006/picture">
                <ns4:pic>
                  <ns4:nvPicPr>
                    <ns4:cNvPr id="0" name="image1.png"/>
                    <ns4:cNvPicPr preferRelativeResize="0"/>
                  </ns4:nvPicPr>
                  <ns4:blipFill>
                    <ns3:blip ns5:embed="rId6"/>
                    <ns3:srcRect b="0" l="0" r="0" t="0"/>
                    <ns3:stretch>
                      <ns3:fillRect/>
                    </ns3:stretch>
                  </ns4:blipFill>
                  <ns4:spPr>
                    <ns3:xfrm>
                      <ns3:off x="0" y="0"/>
                      <ns3:ext cx="1528763" cy="1956158"/>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2">
      <ns0:pPr>
        <ns0:jc ns0:val="center"/>
        <ns0:rPr>
          <ns0:rFonts ns0:ascii="Times New Roman" ns0:cs="Times New Roman" ns0:eastAsia="Times New Roman" ns0:hAnsi="Times New Roman"/>
          <ns0:b ns0:val="1"/>
          <ns0:bCs ns0:val="1"/>
          <ns0:sz ns0:val="30"/>
          <ns0:szCs ns0:val="30"/>
        </ns0:rPr>
      </ns0:pPr>
      <ns0:r ns0:rsidDel="00000000" ns0:rsidR="00000000" ns0:rsidRPr="00000000">
        <ns0:rPr>
          <ns0:rFonts ns0:ascii="Times New Roman" ns0:cs="Times New Roman" ns0:eastAsia="Times New Roman" ns0:hAnsi="Times New Roman"/>
          <ns0:b ns0:val="1"/>
          <ns0:bCs ns0:val="1"/>
          <ns0:sz ns0:val="30"/>
          <ns0:szCs ns0:val="30"/>
          <ns0:rtl ns0:val="0"/>
        </ns0:rPr>
        <ns0:t xml:space="preserve">Report</ns0:t>
      </ns0:r>
    </ns0:p>
    <ns0:p ns0:rsidR="00000000" ns0:rsidDel="00000000" ns0:rsidP="00000000" ns0:rsidRDefault="00000000" ns0:rsidRPr="00000000" ns1:paraId="00000003">
      <ns0:pPr>
        <ns0:jc ns0:val="center"/>
        <ns0:rPr>
          <ns0:rFonts ns0:ascii="Times New Roman" ns0:cs="Times New Roman" ns0:eastAsia="Times New Roman" ns0:hAnsi="Times New Roman"/>
          <ns0:b ns0:val="1"/>
          <ns0:bCs ns0:val="1"/>
          <ns0:sz ns0:val="32"/>
          <ns0:szCs ns0:val="32"/>
        </ns0:rPr>
      </ns0:pPr>
      <ns0:r ns0:rsidDel="00000000" ns0:rsidR="00000000" ns0:rsidRPr="00000000">
        <ns0:rPr>
          <ns0:rtl ns0:val="0"/>
        </ns0:rPr>
      </ns0:r>
    </ns0:p>
    <ns0:p ns0:rsidR="00000000" ns0:rsidDel="00000000" ns0:rsidP="00000000" ns0:rsidRDefault="00000000" ns0:rsidRPr="00000000" ns1:paraId="00000004">
      <ns0:pPr>
        <ns0:jc ns0:val="center"/>
        <ns0:rPr>
          <ns0:rFonts ns0:ascii="Times New Roman" ns0:cs="Times New Roman" ns0:eastAsia="Times New Roman" ns0:hAnsi="Times New Roman"/>
          <ns0:b ns0:val="1"/>
          <ns0:bCs ns0:val="1"/>
          <ns0:sz ns0:val="36"/>
          <ns0:szCs ns0:val="36"/>
        </ns0:rPr>
      </ns0:pPr>
      <ns0:r ns0:rsidDel="00000000" ns0:rsidR="00000000" ns0:rsidRPr="00000000">
        <ns0:rPr>
          <ns0:rFonts ns0:ascii="Times New Roman" ns0:cs="Times New Roman" ns0:eastAsia="Times New Roman" ns0:hAnsi="Times New Roman"/>
          <ns0:b ns0:val="1"/>
          <ns0:bCs ns0:val="1"/>
          <ns0:sz ns0:val="36"/>
          <ns0:szCs ns0:val="36"/>
          <ns0:rtl ns0:val="0"/>
        </ns0:rPr>
        <ns0:t xml:space="preserve">Tennis Prediction</ns0:t>
      </ns0:r>
    </ns0:p>
    <ns0:p ns0:rsidR="00000000" ns0:rsidDel="00000000" ns0:rsidP="00000000" ns0:rsidRDefault="00000000" ns0:rsidRPr="00000000" ns1:paraId="00000005">
      <ns0:pPr>
        <ns0:jc ns0:val="center"/>
        <ns0:rPr>
          <ns0:rFonts ns0:ascii="Times New Roman" ns0:cs="Times New Roman" ns0:eastAsia="Times New Roman" ns0:hAnsi="Times New Roman"/>
          <ns0:b ns0:val="1"/>
          <ns0:bCs ns0:val="1"/>
          <ns0:sz ns0:val="36"/>
          <ns0:szCs ns0:val="36"/>
        </ns0:rPr>
      </ns0:pPr>
      <ns0:r ns0:rsidDel="00000000" ns0:rsidR="00000000" ns0:rsidRPr="00000000">
        <ns0:rPr>
          <ns0:rtl ns0:val="0"/>
        </ns0:rPr>
      </ns0:r>
    </ns0:p>
    <ns0:p ns0:rsidR="00000000" ns0:rsidDel="00000000" ns0:rsidP="00000000" ns0:rsidRDefault="00000000" ns0:rsidRPr="00000000" ns1:paraId="00000006">
      <ns0:pPr>
        <ns0:jc ns0:val="center"/>
        <ns0:rPr>
          <ns0:rFonts ns0:ascii="Times New Roman" ns0:cs="Times New Roman" ns0:eastAsia="Times New Roman" ns0:hAnsi="Times New Roman"/>
          <ns0:sz ns0:val="26"/>
          <ns0:szCs ns0:val="26"/>
        </ns0:rPr>
      </ns0:pPr>
      <ns0:r ns0:rsidDel="00000000" ns0:rsidR="00000000" ns0:rsidRPr="00000000">
        <ns0:rPr>
          <ns0:rFonts ns0:ascii="Times New Roman" ns0:cs="Times New Roman" ns0:eastAsia="Times New Roman" ns0:hAnsi="Times New Roman"/>
          <ns0:sz ns0:val="26"/>
          <ns0:szCs ns0:val="26"/>
          <ns0:rtl ns0:val="0"/>
        </ns0:rPr>
        <ns0:t xml:space="preserve">Progetto di Artificial Intelligence 2025/2026</ns0:t>
      </ns0:r>
    </ns0:p>
    <ns0:p ns0:rsidR="00000000" ns0:rsidDel="00000000" ns0:rsidP="00000000" ns0:rsidRDefault="00000000" ns0:rsidRPr="00000000" ns1:paraId="00000007">
      <ns0:pP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br ns0:type="textWrapping"/>
      </ns0:r>
      <ns0:r ns0:rsidDel="00000000" ns0:rsidR="00000000" ns0:rsidRPr="00000000">
        <ns0:rPr>
          <ns0:rFonts ns0:ascii="Times New Roman" ns0:cs="Times New Roman" ns0:eastAsia="Times New Roman" ns0:hAnsi="Times New Roman"/>
          <ns0:rtl ns0:val="0"/>
        </ns0:rPr>
        <ns0:br ns0:type="textWrapping"/>
      </ns0:r>
    </ns0:p>
    <ns0:p ns0:rsidR="00000000" ns0:rsidDel="00000000" ns0:rsidP="00000000" ns0:rsidRDefault="00000000" ns0:rsidRPr="00000000" ns1:paraId="00000008">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9">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A">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B">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C">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D">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E">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F">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0">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1">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2">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3">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4">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5">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6">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7">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8">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9">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A">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B">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C">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D">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E">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1F">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20">
      <ns0:pP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Campagnolo Alberto - Matricola 897569</ns0:t>
      </ns0:r>
    </ns0:p>
    <ns0:p ns0:rsidR="00000000" ns0:rsidDel="00000000" ns0:rsidP="00000000" ns0:rsidRDefault="00000000" ns0:rsidRPr="00000000" ns1:paraId="00000021">
      <ns0:pP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Gandini Gianmarco - Matricola 898066</ns0:t>
      </ns0:r>
    </ns0:p>
    <ns0:p ns0:rsidR="00000000" ns0:rsidDel="00000000" ns0:rsidP="00000000" ns0:rsidRDefault="00000000" ns0:rsidRPr="00000000" ns1:paraId="00000022">
      <ns0:pP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Indice</ns0:t>
      </ns0:r>
    </ns0:p>
    <ns0:p ns0:rsidR="00000000" ns0:rsidDel="00000000" ns0:rsidP="00000000" ns0:rsidRDefault="00000000" ns0:rsidRPr="00000000" ns1:paraId="00000023">
      <ns0:pPr>
        <ns0:numPr>
          <ns0:ilvl ns0:val="0"/>
          <ns0:numId ns0:val="1"/>
        </ns0:numPr>
        <ns0:tabs>
          <ns0:tab ns0:val="right" ns0:leader="dot" ns0:pos="9000"/>
        </ns0:tabs>
        <ns0:spacing ns0:after="0" ns0:afterAutospacing="0" ns0:before="24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Introduzione</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2</ns0:t>
      </ns0:r>
    </ns0:p>
    <ns0:p ns0:rsidR="00000000" ns0:rsidDel="00000000" ns0:rsidP="00000000" ns0:rsidRDefault="00000000" ns0:rsidRPr="00000000" ns1:paraId="00000024">
      <ns0:pPr>
        <ns0:numPr>
          <ns0:ilvl ns0:val="0"/>
          <ns0:numId ns0:val="1"/>
        </ns0:numPr>
        <ns0:tabs>
          <ns0:tab ns0:val="right" ns0:leader="dot" ns0:pos="9000"/>
        </ns0:tabs>
        <ns0:spacing ns0:after="0" ns0:afterAutospacing="0" ns0:before="0" ns0:beforeAutospacing="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Load Data</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3</ns0:t>
      </ns0:r>
    </ns0:p>
    <ns0:p ns0:rsidR="00000000" ns0:rsidDel="00000000" ns0:rsidP="00000000" ns0:rsidRDefault="00000000" ns0:rsidRPr="00000000" ns1:paraId="00000025">
      <ns0:pPr>
        <ns0:numPr>
          <ns0:ilvl ns0:val="0"/>
          <ns0:numId ns0:val="1"/>
        </ns0:numPr>
        <ns0:tabs>
          <ns0:tab ns0:val="right" ns0:leader="dot" ns0:pos="9000"/>
        </ns0:tabs>
        <ns0:spacing ns0:after="0" ns0:afterAutospacing="0" ns0:before="0" ns0:beforeAutospacing="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Feature Engineering</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3</ns0:t>
      </ns0:r>
    </ns0:p>
    <ns0:p ns0:rsidR="00000000" ns0:rsidDel="00000000" ns0:rsidP="00000000" ns0:rsidRDefault="00000000" ns0:rsidRPr="00000000" ns1:paraId="00000026">
      <ns0:pPr>
        <ns0:numPr>
          <ns0:ilvl ns0:val="0"/>
          <ns0:numId ns0:val="1"/>
        </ns0:numPr>
        <ns0:tabs>
          <ns0:tab ns0:val="right" ns0:leader="dot" ns0:pos="9000"/>
        </ns0:tabs>
        <ns0:spacing ns0:after="0" ns0:afterAutospacing="0" ns0:before="0" ns0:beforeAutospacing="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Machine Learning</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4</ns0:t>
      </ns0:r>
    </ns0:p>
    <ns0:p ns0:rsidR="00000000" ns0:rsidDel="00000000" ns0:rsidP="00000000" ns0:rsidRDefault="00000000" ns0:rsidRPr="00000000" ns1:paraId="00000027">
      <ns0:pPr>
        <ns0:numPr>
          <ns0:ilvl ns0:val="1"/>
          <ns0:numId ns0:val="1"/>
        </ns0:numPr>
        <ns0:tabs>
          <ns0:tab ns0:val="right" ns0:leader="dot" ns0:pos="9000"/>
        </ns0:tabs>
        <ns0:spacing ns0:after="0" ns0:afterAutospacing="0" ns0:before="0" ns0:beforeAutospacing="0" ns0:lineRule="auto"/>
        <ns0:ind ns0:left="144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GINI Criterion</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5</ns0:t>
      </ns0:r>
    </ns0:p>
    <ns0:p ns0:rsidR="00000000" ns0:rsidDel="00000000" ns0:rsidP="00000000" ns0:rsidRDefault="00000000" ns0:rsidRPr="00000000" ns1:paraId="00000028">
      <ns0:pPr>
        <ns0:numPr>
          <ns0:ilvl ns0:val="1"/>
          <ns0:numId ns0:val="1"/>
        </ns0:numPr>
        <ns0:tabs>
          <ns0:tab ns0:val="right" ns0:leader="dot" ns0:pos="9000"/>
        </ns0:tabs>
        <ns0:spacing ns0:after="0" ns0:afterAutospacing="0" ns0:before="0" ns0:beforeAutospacing="0" ns0:lineRule="auto"/>
        <ns0:ind ns0:left="144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CatBoost</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5</ns0:t>
      </ns0:r>
    </ns0:p>
    <ns0:p ns0:rsidR="00000000" ns0:rsidDel="00000000" ns0:rsidP="00000000" ns0:rsidRDefault="00000000" ns0:rsidRPr="00000000" ns1:paraId="00000029">
      <ns0:pPr>
        <ns0:numPr>
          <ns0:ilvl ns0:val="0"/>
          <ns0:numId ns0:val="1"/>
        </ns0:numPr>
        <ns0:tabs>
          <ns0:tab ns0:val="right" ns0:leader="dot" ns0:pos="9000"/>
        </ns0:tabs>
        <ns0:spacing ns0:after="0" ns0:afterAutospacing="0" ns0:before="0" ns0:beforeAutospacing="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Valutazione comparativa</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2A">
      <ns0:pPr>
        <ns0:numPr>
          <ns0:ilvl ns0:val="1"/>
          <ns0:numId ns0:val="1"/>
        </ns0:numPr>
        <ns0:tabs>
          <ns0:tab ns0:val="right" ns0:leader="dot" ns0:pos="9000"/>
        </ns0:tabs>
        <ns0:spacing ns0:after="0" ns0:afterAutospacing="0" ns0:before="0" ns0:beforeAutospacing="0" ns0:lineRule="auto"/>
        <ns0:ind ns0:left="144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GINI Criterion</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2B">
      <ns0:pPr>
        <ns0:numPr>
          <ns0:ilvl ns0:val="1"/>
          <ns0:numId ns0:val="1"/>
        </ns0:numPr>
        <ns0:tabs>
          <ns0:tab ns0:val="right" ns0:leader="dot" ns0:pos="9000"/>
        </ns0:tabs>
        <ns0:spacing ns0:after="0" ns0:afterAutospacing="0" ns0:before="0" ns0:beforeAutospacing="0" ns0:lineRule="auto"/>
        <ns0:ind ns0:left="144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CatBoost</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2C">
      <ns0:pPr>
        <ns0:numPr>
          <ns0:ilvl ns0:val="0"/>
          <ns0:numId ns0:val="1"/>
        </ns0:numPr>
        <ns0:tabs>
          <ns0:tab ns0:val="right" ns0:leader="dot" ns0:pos="9000"/>
        </ns0:tabs>
        <ns0:spacing ns0:after="0" ns0:afterAutospacing="0" ns0:before="0" ns0:beforeAutospacing="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Contributo al progetto</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2D">
      <ns0:pPr>
        <ns0:numPr>
          <ns0:ilvl ns0:val="1"/>
          <ns0:numId ns0:val="1"/>
        </ns0:numPr>
        <ns0:tabs>
          <ns0:tab ns0:val="right" ns0:leader="dot" ns0:pos="9000"/>
        </ns0:tabs>
        <ns0:spacing ns0:after="0" ns0:afterAutospacing="0" ns0:before="0" ns0:beforeAutospacing="0" ns0:lineRule="auto"/>
        <ns0:ind ns0:left="144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Sviluppo</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2E">
      <ns0:pPr>
        <ns0:numPr>
          <ns0:ilvl ns0:val="1"/>
          <ns0:numId ns0:val="1"/>
        </ns0:numPr>
        <ns0:tabs>
          <ns0:tab ns0:val="right" ns0:leader="dot" ns0:pos="9000"/>
        </ns0:tabs>
        <ns0:spacing ns0:after="0" ns0:afterAutospacing="0" ns0:before="0" ns0:beforeAutospacing="0" ns0:lineRule="auto"/>
        <ns0:ind ns0:left="144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Documentazione</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2F">
      <ns0:pPr>
        <ns0:numPr>
          <ns0:ilvl ns0:val="0"/>
          <ns0:numId ns0:val="1"/>
        </ns0:numPr>
        <ns0:tabs>
          <ns0:tab ns0:val="right" ns0:leader="dot" ns0:pos="9000"/>
        </ns0:tabs>
        <ns0:spacing ns0:after="240" ns0:before="0" ns0:beforeAutospacing="0" ns0:lineRule="auto"/>
        <ns0:ind ns0:left="720" ns0:hanging="360"/>
        <ns0:rPr>
          <ns0:rFonts ns0:ascii="Times New Roman" ns0:cs="Times New Roman" ns0:eastAsia="Times New Roman" ns0:hAnsi="Times New Roman"/>
        </ns0:rPr>
      </ns0:pPr>
      <ns0:r>
        <ns0:rPr>
          <ns0:rFonts ns0:ascii="Times New Roman" ns0:cs="Times New Roman" ns0:eastAsia="Times New Roman" ns0:hAnsi="Times New Roman"/>
          <ns0:rtl ns0:val="0"/>
        </ns0:rPr>
        <ns0:t>Conclusione</ns0:t>
      </ns0:r>
      <ns0:r>
        <ns0:rPr>
          <ns0:rFonts ns0:ascii="Times New Roman" ns0:cs="Times New Roman" ns0:eastAsia="Times New Roman" ns0:hAnsi="Times New Roman"/>
          <ns0:rtl ns0:val="0"/>
        </ns0:rPr>
        <ns0:tab/>
      </ns0:r>
      <ns0:r>
        <ns0:rPr>
          <ns0:rFonts ns0:ascii="Times New Roman" ns0:cs="Times New Roman" ns0:eastAsia="Times New Roman" ns0:hAnsi="Times New Roman"/>
          <ns0:rtl ns0:val="0"/>
        </ns0:rPr>
        <ns0:t>6</ns0:t>
      </ns0:r>
    </ns0:p>
    <ns0:p ns0:rsidR="00000000" ns0:rsidDel="00000000" ns0:rsidP="00000000" ns0:rsidRDefault="00000000" ns0:rsidRPr="00000000" ns1:paraId="00000030">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1">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2">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3">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4">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5">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6">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7">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8">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9">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A">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B">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C">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D">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E">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3F">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0">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1">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2">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3">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4">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5">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6">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7">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8">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9">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A">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B">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C">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D">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E">
      <ns0:pPr>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4F">
      <ns0:pPr>
        <ns0:spacing ns0:after="120" ns0:lineRule="auto"/>
        <ns0:rPr>
          <ns0:rFonts ns0:ascii="Times New Roman" ns0:cs="Times New Roman" ns0:eastAsia="Times New Roman" ns0:hAnsi="Times New Roman"/>
          <ns0:b ns0:val="1"/>
          <ns0:bCs ns0:val="1"/>
        </ns0:rPr>
      </ns0:pPr>
      <ns0:r ns0:rsidDel="00000000" ns0:rsidR="00000000" ns0:rsidRPr="00000000">
        <ns0:rPr>
          <ns0:rtl ns0:val="0"/>
        </ns0:rPr>
      </ns0:r>
    </ns0:p>
    <ns0:p ns0:rsidR="00000000" ns0:rsidDel="00000000" ns0:rsidP="00000000" ns0:rsidRDefault="00000000" ns0:rsidRPr="00000000" ns1:paraId="00000050">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1. Introduzione</ns0:t>
      </ns0:r>
    </ns0:p>
    <ns0:p ns0:rsidR="00000000" ns0:rsidDel="00000000" ns0:rsidP="00000000" ns0:rsidRDefault="00000000" ns0:rsidRPr="00000000" ns1:paraId="00000051">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L'obiettivo di questo progetto è sviluppare dei modelli di Machine Learning in grado di prevedere il vincitore di una partita di tennis a partire dai dati storici degli incontri disputati negli anni precedenti.</ns0:t>
      </ns0:r>
    </ns0:p>
    <ns0:p ns0:rsidR="00000000" ns0:rsidDel="00000000" ns0:rsidP="00000000" ns0:rsidRDefault="00000000" ns0:rsidRPr="00000000" ns1:paraId="00000052">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 dataset utilizzati contengono informazioni relative ai giocatori, ai tornei, alla superficie di gioco, al ranking e alle statistiche delle partite. A partire da questi dati sono state costruite delle feature in grado di rappresentare la forza e la forma recente dei giocatori.</ns0:t>
      </ns0:r>
    </ns0:p>
    <ns0:p ns0:rsidR="00000000" ns0:rsidDel="00000000" ns0:rsidP="00000000" ns0:rsidRDefault="00000000" ns0:rsidRPr="00000000" ns1:paraId="00000053">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Sono stati analizzati e confrontati due diversi algoritmi di classificazione, uno appartenente a scikit-learn e uno basato su una libreria esterna. Dopo una fase di ottimizzazione dei parametri, i modelli sono stati valutati e confrontati in termini di prestazioni.</ns0:t>
      </ns0:r>
    </ns0:p>
    <ns0:p ns0:rsidR="00000000" ns0:rsidDel="00000000" ns0:rsidP="00000000" ns0:rsidRDefault="00000000" ns0:rsidRPr="00000000" ns1:paraId="00000054">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Infine, è stata analizzata l'importanza delle feature e sono state studiate le partite con le predizioni migliori e peggiori, al fine di comprendere i punti di forza e i limiti dei modelli.</ns0:t>
      </ns0:r>
    </ns0:p>
    <ns0:p ns0:rsidR="00000000" ns0:rsidDel="00000000" ns0:rsidP="00000000" ns0:rsidRDefault="00000000" ns0:rsidRPr="00000000" ns1:paraId="00000055">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2. Load Data</ns0:t>
      </ns0:r>
    </ns0:p>
    <ns0:p ns0:rsidR="00000000" ns0:rsidDel="00000000" ns0:rsidP="00000000" ns0:rsidRDefault="00000000" ns0:rsidRPr="00000000" ns1:paraId="00000056">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 fase di data cleaning è stata necessaria per rendere omogenei i dati provenienti dai diversi file annuali di Tennis-Data e ottenere un unico dataset utilizzabile nelle successive fasi di analisi e modellazione.</ns0:t>
      </ns0:r>
    </ns0:p>
    <ns0:p ns0:rsidR="00000000" ns0:rsidDel="00000000" ns0:rsidP="00000000" ns0:rsidRDefault="00000000" ns0:rsidRPr="00000000" ns1:paraId="00000057">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 primo luogo, i file originali sono stati scaricati e mantenuti nella directory data/raw, senza modificarne il contenuto. Per garantire la </ns0:t>
      </ns0:r>
      <ns0:r ns0:rsidDel="00000000" ns0:rsidR="00000000" ns0:rsidRPr="00000000">
        <ns0:rPr>
          <ns0:rFonts ns0:ascii="Times New Roman" ns0:cs="Times New Roman" ns0:eastAsia="Times New Roman" ns0:hAnsi="Times New Roman"/>
          <ns0:b ns0:val="1"/>
          <ns0:bCs ns0:val="1"/>
          <ns0:rtl ns0:val="0"/>
        </ns0:rPr>
        <ns0:t xml:space="preserve">tracciabilità e la riproducibilità</ns0:t>
      </ns0:r>
      <ns0:r ns0:rsidDel="00000000" ns0:rsidR="00000000" ns0:rsidRPr="00000000">
        <ns0:rPr>
          <ns0:rFonts ns0:ascii="Times New Roman" ns0:cs="Times New Roman" ns0:eastAsia="Times New Roman" ns0:hAnsi="Times New Roman"/>
          <ns0:rtl ns0:val="0"/>
        </ns0:rPr>
        <ns0:t xml:space="preserve"> del processo, per ogni file è stato creato un manifest contenente informazioni quali anno, sorgente, percorso del file, dimensione e hash SHA-256. In questo modo è possibile verificare che i dati originali non siano stati alterati.</ns0:t>
      </ns0:r>
    </ns0:p>
    <ns0:p ns0:rsidR="00000000" ns0:rsidDel="00000000" ns0:rsidP="00000000" ns0:rsidRDefault="00000000" ns0:rsidRPr="00000000" ns1:paraId="00000058">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Successivamente, i diversi file Excel annuali sono stati caricati e unificati in un unico dataset. Durante questa fase sono state rimosse eventuali colonne completamente vuote, come quelle generate accidentalmente da Excel (ad esempio Unnamed: 36), e i nomi delle colonne sono stati convertiti in stringhe e ripuliti dagli spazi superflui.</ns0:t>
      </ns0:r>
    </ns0:p>
    <ns0:p ns0:rsidR="00000000" ns0:rsidDel="00000000" ns0:rsidP="00000000" ns0:rsidRDefault="00000000" ns0:rsidRPr="00000000" ns1:paraId="00000059">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Per garantire la compatibilità tra gli anni, è stato definito uno </ns0:t>
      </ns0:r>
      <ns0:r ns0:rsidDel="00000000" ns0:rsidR="00000000" ns0:rsidRPr="00000000">
        <ns0:rPr>
          <ns0:rFonts ns0:ascii="Times New Roman" ns0:cs="Times New Roman" ns0:eastAsia="Times New Roman" ns0:hAnsi="Times New Roman"/>
          <ns0:b ns0:val="1"/>
          <ns0:bCs ns0:val="1"/>
          <ns0:rtl ns0:val="0"/>
        </ns0:rPr>
        <ns0:t xml:space="preserve">schema canonico</ns0:t>
      </ns0:r>
      <ns0:r ns0:rsidDel="00000000" ns0:rsidR="00000000" ns0:rsidRPr="00000000">
        <ns0:rPr>
          <ns0:rFonts ns0:ascii="Times New Roman" ns0:cs="Times New Roman" ns0:eastAsia="Times New Roman" ns0:hAnsi="Times New Roman"/>
          <ns0:rtl ns0:val="0"/>
        </ns0:rPr>
        <ns0:t xml:space="preserve"> composto dalle variabili comuni al progetto, tra cui informazioni sulla partita (Winner, Loser, Round, Surface), ranking e punti dei giocatori (WRank, LRank, WPts, LPts), risultati dei set (W1, L1, …,W5, L5) e quote dei bookmaker. Ogni file annuale è stato riallineato a questo schema: le colonne eventualmente non disponibili in uno specifico anno vengono quindi rappresentate come valori mancanti (NA) invece di modificare la struttura complessiva del dataset.</ns0:t>
      </ns0:r>
    </ns0:p>
    <ns0:p ns0:rsidR="00000000" ns0:rsidDel="00000000" ns0:rsidP="00000000" ns0:rsidRDefault="00000000" ns0:rsidRPr="00000000" ns1:paraId="0000005A">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Particolare attenzione è stata dedicata alla variabile Date, che è stata convertita in un formato temporale standard (YYYY-MM-DD). La conversione utilizza una gestione degli errori (errors=”coerce”), in modo che eventuali date non interpretabili vengano trasformate in valori mancanti anziché interrompere l'intero processo.</ns0:t>
      </ns0:r>
    </ns0:p>
    <ns0:p ns0:rsidR="00000000" ns0:rsidDel="00000000" ns0:rsidP="00000000" ns0:rsidRDefault="00000000" ns0:rsidRPr="00000000" ns1:paraId="0000005B">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È stata inoltre aggiunta la variabile source_year, che identifica l'anno del file originale da cui proviene ogni osservazione. Dopo l'unione dei dataset annuali, le osservazioni sono state ordinate in maniera stabile in base a data, circuito (ATP), torneo, vincitore e perdente. Il risultato finale viene salvato come tennis_matches_raw.data, un file CSV UTF-8 che costituisce il </ns0:t>
      </ns0:r>
      <ns0:r ns0:rsidDel="00000000" ns0:rsidR="00000000" ns0:rsidRPr="00000000">
        <ns0:rPr>
          <ns0:rFonts ns0:ascii="Times New Roman" ns0:cs="Times New Roman" ns0:eastAsia="Times New Roman" ns0:hAnsi="Times New Roman"/>
          <ns0:b ns0:val="1"/>
          <ns0:bCs ns0:val="1"/>
          <ns0:rtl ns0:val="0"/>
        </ns0:rPr>
        <ns0:t xml:space="preserve">dataset canonico di partenza</ns0:t>
      </ns0:r>
      <ns0:r ns0:rsidDel="00000000" ns0:rsidR="00000000" ns0:rsidRPr="00000000">
        <ns0:rPr>
          <ns0:rFonts ns0:ascii="Times New Roman" ns0:cs="Times New Roman" ns0:eastAsia="Times New Roman" ns0:hAnsi="Times New Roman"/>
          <ns0:rtl ns0:val="0"/>
        </ns0:rPr>
        <ns0:t xml:space="preserve"> per le fasi successive del progetto.</ns0:t>
      </ns0:r>
    </ns0:p>
    <ns0:p ns0:rsidR="00000000" ns0:rsidDel="00000000" ns0:rsidP="00000000" ns0:rsidRDefault="00000000" ns0:rsidRPr="00000000" ns1:paraId="0000005C">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Infine, il sistema di visualizzazione sviluppato per il progetto applica ulteriori controlli durante la lettura dei dati: le righe con un numero di valori inferiore alle colonne attese vengono completate con valori vuoti, mentre eventuali valori in eccesso vengono ricondotti all'ultima colonna. I valori nulli o stringhe come NaN, None e NaT vengono inoltre visualizzati uniformemente come valori mancanti. Questo permette di ispezionare il dataset e individuare eventuali anomalie senza modificare i dati originali.</ns0:t>
      </ns0:r>
    </ns0:p>
    <ns0:p ns0:rsidR="00000000" ns0:rsidDel="00000000" ns0:rsidP="00000000" ns0:rsidRDefault="00000000" ns0:rsidRPr="00000000" ns1:paraId="0000005D">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3. Feature Engineering</ns0:t>
      </ns0:r>
    </ns0:p>
    <ns0:p ns0:rsidR="00000000" ns0:rsidDel="00000000" ns0:rsidP="00000000" ns0:rsidRDefault="00000000" ns0:rsidRPr="00000000" ns1:paraId="0000005E">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 fase di feature engineering ha avuto l'obiettivo di trasformare i dati storici delle partite in variabili utilizzabili dal modello predittivo, evitando il data leakage. Per ogni incontro le feature sono state calcolate utilizzando esclusivamente informazioni disponibili prima dell'inizio della partita.</ns0:t>
      </ns0:r>
    </ns0:p>
    <ns0:p ns0:rsidR="00000000" ns0:rsidDel="00000000" ns0:rsidP="00000000" ns0:rsidRDefault="00000000" ns0:rsidRPr="00000000" ns1:paraId="0000005F">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Sono state utilizzate le seguenti feature: ranking ATP, punti in classifica, numero di partite disputate, percentuale di vittorie complessive e nelle ultime cinque partite. Sono state inoltre considerate la percentuale di vittorie sulla superficie specifica e i giorni trascorsi dall'ultima partita.</ns0:t>
      </ns0:r>
    </ns0:p>
    <ns0:p ns0:rsidR="00000000" ns0:rsidDel="00000000" ns0:rsidP="00000000" ns0:rsidRDefault="00000000" ns0:rsidRPr="00000000" ns1:paraId="00000060">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È stata introdotta anche una componente Head-to-Head (H2H), basata sul numero di precedenti tra i giocatori e sulle rispettive percentuali di vittoria, considerando solo gli incontri precedenti.</ns0:t>
      </ns0:r>
    </ns0:p>
    <ns0:p ns0:rsidR="00000000" ns0:rsidDel="00000000" ns0:rsidP="00000000" ns0:rsidRDefault="00000000" ns0:rsidRPr="00000000" ns1:paraId="00000061">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Il dataset è stato arricchito con i dati del repository Jeff Sackmann Tennis ATP attraverso un processo di name matching. Sono state integrate informazioni come altezza, età e mano dominante, oltre a statistiche storiche di servizio e risposta, tra cui ace rate, double-fault rate, percentuale di prime, punti vinti sulla prima e seconda di servizio e break point salvati. Anche queste feature sono state calcolate in modalità pre-match. La copertura per le principali statistiche di servizio/risposta è stata di circa il 77%.</ns0:t>
      </ns0:r>
    </ns0:p>
    <ns0:p ns0:rsidR="00000000" ns0:rsidDel="00000000" ns0:rsidP="00000000" ns0:rsidRDefault="00000000" ns0:rsidRPr="00000000" ns1:paraId="00000062">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Quando disponibili, sono state aggiunte le quote di mercato, trasformate in probabilità implicite. Le categorie poco frequenti di torneo e località, con meno di 50 osservazioni, sono state raggruppate nella classe "other", mentre il turno del torneo è stato codificato come variabile ordinale.</ns0:t>
      </ns0:r>
    </ns0:p>
    <ns0:p ns0:rsidR="00000000" ns0:rsidDel="00000000" ns0:rsidP="00000000" ns0:rsidRDefault="00000000" ns0:rsidRPr="00000000" ns1:paraId="00000063">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Infine, il dataset è stato simmetrizzato: per ogni partita è stata aggiunta una seconda osservazione con i ruoli dei giocatori invertiti e il target complementare. Questo permette al modello di essere indipendente dall'ordine con cui vengono presentati i giocatori.</ns0:t>
      </ns0:r>
    </ns0:p>
    <ns0:p ns0:rsidR="00000000" ns0:rsidDel="00000000" ns0:rsidP="00000000" ns0:rsidRDefault="00000000" ns0:rsidRPr="00000000" ns1:paraId="00000064">
      <ns0:pPr>
        <ns0:pStyle ns0:val="Heading2"/>
        <ns0:keepNext ns0:val="0"/>
        <ns0:keepLines ns0:val="0"/>
        <ns0:spacing ns0:after="80" ns0:lineRule="auto"/>
        <ns0:rPr>
          <ns0:rFonts ns0:ascii="Times New Roman" ns0:cs="Times New Roman" ns0:eastAsia="Times New Roman" ns0:hAnsi="Times New Roman"/>
          <ns0:b ns0:val="1"/>
          <ns0:bCs ns0:val="1"/>
          <ns0:sz ns0:val="34"/>
          <ns0:szCs ns0:val="34"/>
        </ns0:rPr>
      </ns0:pPr>
      <ns0:bookmarkStart ns0:colFirst="0" ns0:colLast="0" ns0:name="_l6wngmyzyvj2" ns0:id="0"/>
      <ns0:bookmarkEnd ns0:id="0"/>
      <ns0:r ns0:rsidDel="00000000" ns0:rsidR="00000000" ns0:rsidRPr="00000000">
        <ns0:rPr>
          <ns0:rFonts ns0:ascii="Times New Roman" ns0:cs="Times New Roman" ns0:eastAsia="Times New Roman" ns0:hAnsi="Times New Roman"/>
          <ns0:b ns0:val="1"/>
          <ns0:bCs ns0:val="1"/>
          <ns0:sz ns0:val="34"/>
          <ns0:szCs ns0:val="34"/>
          <ns0:rtl ns0:val="0"/>
        </ns0:rPr>
        <ns0:t xml:space="preserve">Risultati</ns0:t>
      </ns0:r>
    </ns0:p>
    <ns0:p ns0:rsidR="00000000" ns0:rsidDel="00000000" ns0:rsidP="00000000" ns0:rsidRDefault="00000000" ns0:rsidRPr="00000000" ns1:paraId="00000065">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Il dataset finale contiene 56.292 osservazioni, corrispondenti a 28.146 partite simmetrizzate, con 64 feature numeriche e 5 categoriche. La validazione è stata effettuata con TimeSeriesSplit a 5 fold.</ns0:t>
      </ns0:r>
    </ns0:p>
    <ns0:tbl>
      <ns0:tblPr>
        <ns0:tblStyle ns0:val="Table1"/>
        <ns0:tblW ns0:w="4600.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3590"/>
        <ns0:gridCol ns0:w="1010"/>
        <ns0:tblGridChange ns0:id="0">
          <ns0:tblGrid>
            <ns0:gridCol ns0:w="3590"/>
            <ns0:gridCol ns0:w="1010"/>
          </ns0:tblGrid>
        </ns0:tblGridChange>
      </ns0:tblGrid>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6">
            <ns0:pPr>
              <ns0:spacing ns0:after="12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Metrica</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7">
            <ns0:pPr>
              <ns0:spacing ns0:after="12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Valore</ns0:t>
            </ns0:r>
            <ns0:r ns0:rsidDel="00000000" ns0:rsidR="00000000" ns0:rsidRPr="00000000">
              <ns0:rPr>
                <ns0:rtl ns0:val="0"/>
              </ns0:rPr>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8">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Accuratezza CV baseline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9">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0.6770</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A">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Deviazione standard</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B">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0.0034</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C">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Feature dopo one-hot encoding</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D">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270</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E">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Feature selezionate da RFECV</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6F">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135</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0">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Miglior accuratezza CV</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1">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0.6809</ns0:t>
            </ns0:r>
          </ns0:p>
        </ns0:tc>
      </ns0:tr>
    </ns0:tbl>
    <ns0:p ns0:rsidR="00000000" ns0:rsidDel="00000000" ns0:rsidP="00000000" ns0:rsidRDefault="00000000" ns0:rsidRPr="00000000" ns1:paraId="00000072">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L'accuratezza finale è quindi di circa 67-68%. La RFECV ha ridotto le feature da 270 a 135, con un miglioramento marginale dell'accuratezza dal 67,70% al 68,09%.</ns0:t>
      </ns0:r>
    </ns0:p>
    <ns0:p ns0:rsidR="00000000" ns0:rsidDel="00000000" ns0:rsidP="00000000" ns0:rsidRDefault="00000000" ns0:rsidRPr="00000000" ns1:paraId="00000073">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4. Machine Learning</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Come da specifica di progetto sono stati sviluppati i due seguenti modelli di Machine Learning:</ns0:t>
      </ns0:r>
    </ns0:p>
    <ns0:p ns0:rsidR="00000000" ns0:rsidDel="00000000" ns0:rsidP="00000000" ns0:rsidRDefault="00000000" ns0:rsidRPr="00000000" ns1:paraId="00000075">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4.1 GINI Criterion</ns0:t>
      </ns0:r>
    </ns0:p>
    <ns0:p ns0:rsidR="00000000" ns0:rsidDel="00000000" ns0:rsidP="00000000" ns0:rsidRDefault="00000000" ns0:rsidRPr="00000000" ns1:paraId="00000076">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Come primo algoritmo è stato utilizzato un </ns0:t>
      </ns0:r>
      <ns0:r ns0:rsidDel="00000000" ns0:rsidR="00000000" ns0:rsidRPr="00000000">
        <ns0:rPr>
          <ns0:rFonts ns0:ascii="Times New Roman" ns0:cs="Times New Roman" ns0:eastAsia="Times New Roman" ns0:hAnsi="Times New Roman"/>
          <ns0:rtl ns0:val="0"/>
        </ns0:rPr>
        <ns0:t xml:space="preserve">Decision Tree Classifier</ns0:t>
      </ns0:r>
      <ns0:r ns0:rsidDel="00000000" ns0:rsidR="00000000" ns0:rsidRPr="00000000">
        <ns0:rPr>
          <ns0:rFonts ns0:ascii="Times New Roman" ns0:cs="Times New Roman" ns0:eastAsia="Times New Roman" ns0:hAnsi="Times New Roman"/>
          <ns0:rtl ns0:val="0"/>
        </ns0:rPr>
        <ns0:t xml:space="preserve"> di scikit-learn con criterio Gini. Per contenere l'overfitting tipico di un albero singolo, gli iperparametri (profondità massima, dimensione minima delle foglie, cost-complexity pruning </ns0:t>
      </ns0:r>
      <ns0:r ns0:rsidDel="00000000" ns0:rsidR="00000000" ns0:rsidRPr="00000000">
        <ns0:rPr>
          <ns0:rFonts ns0:ascii="Times New Roman" ns0:cs="Times New Roman" ns0:eastAsia="Times New Roman" ns0:hAnsi="Times New Roman"/>
          <ns0:rtl ns0:val="0"/>
        </ns0:rPr>
        <ns0:t xml:space="preserve">ccp_alpha</ns0:t>
      </ns0:r>
      <ns0:r ns0:rsidDel="00000000" ns0:rsidR="00000000" ns0:rsidRPr="00000000">
        <ns0:rPr>
          <ns0:rFonts ns0:ascii="Times New Roman" ns0:cs="Times New Roman" ns0:eastAsia="Times New Roman" ns0:hAnsi="Times New Roman"/>
          <ns0:rtl ns0:val="0"/>
        </ns0:rPr>
        <ns0:t xml:space="preserve">) sono stati ottimizzati tramite grid search. La cross-validation è stata costruita su date uniche anziché su indice di riga, per mantenere nello stesso fold le due osservazioni simmetriche generate da ogni match, seguita da un holdout cronologico finale mai usato in fase di tuning.</ns0:t>
      </ns0:r>
    </ns0:p>
    <ns0:p ns0:rsidR="00000000" ns0:rsidDel="00000000" ns0:rsidP="00000000" ns0:rsidRDefault="00000000" ns0:rsidRPr="00000000" ns1:paraId="00000077">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Model Evaluation:</ns0:t>
      </ns0:r>
    </ns0:p>
    <ns0:p ns0:rsidR="00000000" ns0:rsidDel="00000000" ns0:rsidP="00000000" ns0:rsidRDefault="00000000" ns0:rsidRPr="00000000" ns1:paraId="00000078">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Per isolare il contributo delle feature costruite rispetto alle quote di mercato, il modello è stato valutato con e senza le feature derivate dalle quote (</ns0:t>
      </ns0:r>
      <ns0:r ns0:rsidDel="00000000" ns0:rsidR="00000000" ns0:rsidRPr="00000000">
        <ns0:rPr>
          <ns0:rFonts ns0:ascii="Times New Roman" ns0:cs="Times New Roman" ns0:eastAsia="Times New Roman" ns0:hAnsi="Times New Roman"/>
          <ns0:rtl ns0:val="0"/>
        </ns0:rPr>
        <ns0:t xml:space="preserve">implied_prob_diff_avg</ns0:t>
      </ns0:r>
      <ns0:r ns0:rsidDel="00000000" ns0:rsidR="00000000" ns0:rsidRPr="00000000">
        <ns0:rPr>
          <ns0:rFonts ns0:ascii="Times New Roman" ns0:cs="Times New Roman" ns0:eastAsia="Times New Roman" ns0:hAnsi="Times New Roman"/>
          <ns0:rtl ns0:val="0"/>
        </ns0:rPr>
        <ns0:t xml:space="preserve"> e affini).</ns0:t>
      </ns0:r>
    </ns0:p>
    <ns0:tbl>
      <ns0:tblPr>
        <ns0:tblStyle ns0:val="Table2"/>
        <ns0:tblW ns0:w="781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420"/>
        <ns0:gridCol ns0:w="2690"/>
        <ns0:gridCol ns0:w="2705"/>
        <ns0:tblGridChange ns0:id="0">
          <ns0:tblGrid>
            <ns0:gridCol ns0:w="2420"/>
            <ns0:gridCol ns0:w="2690"/>
            <ns0:gridCol ns0:w="2705"/>
          </ns0:tblGrid>
        </ns0:tblGridChange>
      </ns0:tblGrid>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9">
            <ns0:pPr>
              <ns0:spacing ns0:after="12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Metrica</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A">
            <ns0:pPr>
              <ns0:spacing ns0:after="12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 quote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B">
            <ns0:pPr>
              <ns0:spacing ns0:after="120"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Senza quote</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C">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Accuratezza CV</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D">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0.6822</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E">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0.6390</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F">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Accuratezza holdout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0">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0.6864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1">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0.6492</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2">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Feature dominante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3">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implied_prob_diff_avg</ns0:t>
            </ns0:r>
            <ns0:r ns0:rsidDel="00000000" ns0:rsidR="00000000" ns0:rsidRPr="00000000">
              <ns0:rPr>
                <ns0:rtl ns0:val="0"/>
              </ns0:rPr>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4">
            <ns0:pPr>
              <ns0:spacing ns0:after="12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rank_diff</ns0:t>
            </ns0:r>
            <ns0:r ns0:rsidDel="00000000" ns0:rsidR="00000000" ns0:rsidRPr="00000000">
              <ns0:rPr>
                <ns0:rFonts ns0:ascii="Times New Roman" ns0:cs="Times New Roman" ns0:eastAsia="Times New Roman" ns0:hAnsi="Times New Roman"/>
                <ns0:rtl ns0:val="0"/>
              </ns0:rPr>
              <ns0:t xml:space="preserve">, </ns0:t>
            </ns0:r>
            <ns0:r ns0:rsidDel="00000000" ns0:rsidR="00000000" ns0:rsidRPr="00000000">
              <ns0:rPr>
                <ns0:rFonts ns0:ascii="Times New Roman" ns0:cs="Times New Roman" ns0:eastAsia="Times New Roman" ns0:hAnsi="Times New Roman"/>
                <ns0:rtl ns0:val="0"/>
              </ns0:rPr>
              <ns0:t xml:space="preserve">points_diff</ns0:t>
            </ns0:r>
            <ns0:r ns0:rsidDel="00000000" ns0:rsidR="00000000" ns0:rsidRPr="00000000">
              <ns0:rPr>
                <ns0:rtl ns0:val="0"/>
              </ns0:rPr>
            </ns0:r>
          </ns0:p>
        </ns0:tc>
      </ns0:tr>
    </ns0:tbl>
    <ns0:p ns0:rsidR="00000000" ns0:rsidDel="00000000" ns0:rsidP="00000000" ns0:rsidRDefault="00000000" ns0:rsidRPr="00000000" ns1:paraId="00000085">
      <ns0:pPr>
        <ns0:spacing ns0:after="240" ns0:befor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 le quote disponibili il modello si riduce a un'unica soglia sulla probabilità implicita, dato il forte potere predittivo dei prezzi di mercato. </ns0:t>
      </ns0:r>
      <ns0:r ns0:rsidDel="00000000" ns0:rsidR="00000000" ns0:rsidRPr="00000000">
        <ns0:rPr>
          <ns0:rFonts ns0:ascii="Times New Roman" ns0:cs="Times New Roman" ns0:eastAsia="Times New Roman" ns0:hAnsi="Times New Roman"/>
          <ns0:rtl ns0:val="0"/>
        </ns0:rPr>
        <ns0:t xml:space="preserve">Escludendole,</ns0:t>
      </ns0:r>
      <ns0:r ns0:rsidDel="00000000" ns0:rsidR="00000000" ns0:rsidRPr="00000000">
        <ns0:rPr>
          <ns0:rFonts ns0:ascii="Times New Roman" ns0:cs="Times New Roman" ns0:eastAsia="Times New Roman" ns0:hAnsi="Times New Roman"/>
          <ns0:rtl ns0:val="0"/>
        </ns0:rPr>
        <ns0:t xml:space="preserve"> l'albero si affida a ranking, punti e forma sulla superficie, mantenendo comunque un'accuratezza di circa il 65% — a conferma che le feature costruite nella fase di feature engineering portano segnale predittivo autonomo, ben oltre il 50% di un classificatore casuale.</ns0:t>
      </ns0:r>
    </ns0:p>
    <ns0:p ns0:rsidR="00000000" ns0:rsidDel="00000000" ns0:rsidP="00000000" ns0:rsidRDefault="00000000" ns0:rsidRPr="00000000" ns1:paraId="00000086">
      <ns0:pPr>
        <ns0:spacing ns0:after="120" ns0:lineRule="auto"/>
        <ns0:rPr>
          <ns0:rFonts ns0:ascii="Times New Roman" ns0:cs="Times New Roman" ns0:eastAsia="Times New Roman" ns0:hAnsi="Times New Roman"/>
          <ns0:b ns0:val="1"/>
          <ns0:bCs ns0:val="1"/>
        </ns0:rPr>
      </ns0:pPr>
      <ns0:r>
        <ns0:rPr>
          <ns0:rFonts ns0:ascii="Times New Roman" ns0:cs="Times New Roman" ns0:eastAsia="Times New Roman" ns0:hAnsi="Times New Roman"/>
          <ns0:b ns0:val="1"/>
          <ns0:bCs ns0:val="1"/>
          <ns0:rtl ns0:val="0"/>
        </ns0:rPr>
        <ns0:t xml:space="preserve">4.2 CatBoost</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CatBoostClassifier combina alberi decisionali in boosting e usa direttamente 72 feature numeriche e 5 categoriche. Il modello è addestrato sulle date più vecchie e valutato sul 15% più recente. Usa 300 alberi, profondità 8, learning rate 0,03 e regolarizzazione L2 pari a 3, senza ricerca dei parametri o cross-validation.</ns0:t>
      </ns0:r>
    </ns0:p>
    <ns0:p ns0:rsidR="00000000" ns0:rsidDel="00000000" ns0:rsidP="00000000" ns0:rsidRDefault="00000000" ns0:rsidRPr="00000000" ns1:paraId="00000077">
      <ns0:pPr>
        <ns0:spacing ns0:after="240" ns0:before="24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Valutazione del modello</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La valutazione confronta il modello con la baseline maggioritaria del 50% e con le probabilità di mercato normalizzate sullo stesso holdout cronologico.</ns0:t>
      </ns0:r>
    </ns0:p>
    <ns0:tbl>
      <ns0:tblPr>
        <ns0:tblStyle ns0:val="Table2"/>
        <ns0:tblW ns0:w="7815.0" ns0:type="dxa"/>
        <ns0:jc ns0:val="left"/>
        <ns0:tblBorders>
          <ns0:top ns0:color="000000" ns0:space="0" ns0:sz="0" ns0:val="nil"/>
          <ns0:left ns0:color="000000" ns0:space="0" ns0:sz="0" ns0:val="nil"/>
          <ns0:bottom ns0:color="000000" ns0:space="0" ns0:sz="0" ns0:val="nil"/>
          <ns0:right ns0:color="000000" ns0:space="0" ns0:sz="0" ns0:val="nil"/>
          <ns0:insideH ns0:color="000000" ns0:space="0" ns0:sz="0" ns0:val="nil"/>
          <ns0:insideV ns0:color="000000" ns0:space="0" ns0:sz="0" ns0:val="nil"/>
        </ns0:tblBorders>
        <ns0:tblLayout ns0:type="fixed"/>
        <ns0:tblLook ns0:val="0600"/>
      </ns0:tblPr>
      <ns0:tblGrid>
        <ns0:gridCol ns0:w="2420"/>
        <ns0:gridCol ns0:w="2690"/>
        <ns0:gridCol ns0:w="2705"/>
        <ns0:tblGridChange ns0:id="0">
          <ns0:tblGrid>
            <ns0:gridCol ns0:w="2420"/>
            <ns0:gridCol ns0:w="2690"/>
            <ns0:gridCol ns0:w="2705"/>
          </ns0:tblGrid>
        </ns0:tblGridChange>
      </ns0:tblGrid>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9">
            <ns0:pPr>
              <ns0:spacing ns0:after="120" ns0:lineRule="auto"/>
              <ns0:jc ns0:val="center"/>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Metrica</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A">
            <ns0:pPr>
              <ns0:spacing ns0:after="120" ns0:lineRule="auto"/>
              <ns0:jc ns0:val="center"/>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CatBoost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B">
            <ns0:pPr>
              <ns0:spacing ns0:after="120" ns0:lineRule="auto"/>
              <ns0:jc ns0:val="center"/>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Mercato</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C">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Accuratezza holdout</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D">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0,6946</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E">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0,6915</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7F">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ROC AUC</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0">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0,7559</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1">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0,7578</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2">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Log loss</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3">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0,5834</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0,5818</ns0:t>
            </ns0:r>
          </ns0:p>
        </ns0:tc>
      </ns0:tr>
      <ns0:tr>
        <ns0:trPr>
          <ns0:cantSplit ns0:val="0"/>
          <ns0:trHeight ns0:val="470" ns0:hRule="atLeast"/>
          <ns0:tblHeader ns0:val="0"/>
        </ns0:trPr>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2">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Brier score</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3">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0,2003</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8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0,1996</ns0:t>
            </ns0:r>
          </ns0:p>
        </ns0:tc>
      </ns0:tr>
    </ns0:tbl>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CatBoost supera la baseline maggioritaria di 19,46 punti percentuali e il mercato di soli 0,31 punti in accuratezza. Il mercato ottiene però risultati leggermente migliori in ROC AUC, log loss e Brier score. L'accuratezza di training è 0,7062, con un divario contenuto di 0,0116 rispetto all'holdout.</ns0:t>
      </ns0:r>
    </ns0:p>
    <ns0:p ns0:rsidR="00000000" ns0:rsidDel="00000000" ns0:rsidP="00000000" ns0:rsidRDefault="00000000" ns0:rsidRPr="00000000" ns1:paraId="00000087">
      <ns0:pPr>
        <ns0:spacing ns0:after="120" ns0:lineRule="auto"/>
        <ns0:rPr>
          <ns0:rFonts ns0:ascii="Times New Roman" ns0:cs="Times New Roman" ns0:eastAsia="Times New Roman" ns0:hAnsi="Times New Roman"/>
          <ns0:b ns0:val="1"/>
          <ns0:bCs ns0:val="1"/>
        </ns0:rPr>
      </ns0:pPr>
      <ns0:r>
        <ns0:rPr>
          <ns0:rFonts ns0:ascii="Times New Roman" ns0:cs="Times New Roman" ns0:eastAsia="Times New Roman" ns0:hAnsi="Times New Roman"/>
          <ns0:b ns0:val="1"/>
          <ns0:bCs ns0:val="1"/>
          <ns0:rtl ns0:val="0"/>
        </ns0:rPr>
        <ns0:t xml:space="preserve">5. Valutazione comparativa</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Il Decision Tree raggiunge 0,6864 di accuratezza con le quote e 0,6492 senza quote. CatBoost raggiunge 0,6946 nel proprio holdout. I due risultati provengono però da esperimenti con dataset diversi e non costituiscono un confronto controllato diretto.</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Nel confronto interno al run CatBoost, l'accuratezza è appena superiore al mercato, mentre le metriche probabilistiche favoriscono il mercato. Le quote sono inoltre le feature più importanti e il 94,5% degli errori a livello di partita riguarda vittorie di giocatori sfavoriti dal mercato.</ns0:t>
      </ns0:r>
    </ns0:p>
    <ns0:p ns0:rsidR="00000000" ns0:rsidDel="00000000" ns0:rsidP="00000000" ns0:rsidRDefault="00000000" ns0:rsidRPr="00000000" ns1:paraId="00000088">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6. Contributi al Progetto </ns0:t>
      </ns0:r>
    </ns0:p>
    <ns0:p ns0:rsidR="00000000" ns0:rsidDel="00000000" ns0:rsidP="00000000" ns0:rsidRDefault="00000000" ns0:rsidRPr="00000000" ns1:paraId="00000089">
      <ns0:pPr>
        <ns0:spacing ns0:after="12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7. Conclusione</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Entrambi i modelli apprendono un segnale predittivo superiore alla baseline casuale. Il Decision Tree offre maggiore interpretabilità; CatBoost gestisce meglio relazioni non lineari e feature categoriche, ma il run attuale non dimostra un vantaggio affidabile rispetto al mercato.</ns0:t>
      </ns0:r>
    </ns0:p>
    <ns0:p ns0:rsidR="00000000" ns0:rsidDel="00000000" ns0:rsidP="00000000" ns0:rsidRDefault="00000000" ns0:rsidRPr="00000000" ns1:paraId="00000074">
      <ns0:pPr>
        <ns0:spacing ns0:after="120" ns0:lineRule="auto"/>
        <ns0:rPr>
          <ns0:rFonts ns0:ascii="Times New Roman" ns0:cs="Times New Roman" ns0:eastAsia="Times New Roman" ns0:hAnsi="Times New Roman"/>
        </ns0:rPr>
      </ns0:pPr>
      <ns0:r>
        <ns0:rPr>
          <ns0:rFonts ns0:ascii="Times New Roman" ns0:cs="Times New Roman" ns0:eastAsia="Times New Roman" ns0:hAnsi="Times New Roman"/>
          <ns0:rtl ns0:val="0"/>
        </ns0:rPr>
        <ns0:t xml:space="preserve">CatBoost va quindi considerato una baseline predittiva valida, non un sistema capace di battere le quote. Il passo successivo corretto è selezionare feature e parametri soltanto su fold temporali di training e valutare il modello scelto una sola volta su un nuovo test cronologico.</ns0:t>
      </ns0:r>
    </ns0:p>
    <ns0:p ns0:rsidR="00000000" ns0:rsidDel="00000000" ns0:rsidP="00000000" ns0:rsidRDefault="00000000" ns0:rsidRPr="00000000" ns1:paraId="0000008A">
      <ns0:pPr>
        <ns0:spacing ns0:after="120" ns0:lineRule="auto"/>
        <ns0:rPr>
          <ns0:rFonts ns0:ascii="Times New Roman" ns0:cs="Times New Roman" ns0:eastAsia="Times New Roman" ns0:hAnsi="Times New Roman"/>
          <ns0:b ns0:val="1"/>
          <ns0:bCs ns0:val="1"/>
        </ns0:rPr>
      </ns0:pPr>
      <ns0:r ns0:rsidDel="00000000" ns0:rsidR="00000000" ns0:rsidRPr="00000000">
        <ns0:rPr>
          <ns0:rtl ns0:val="0"/>
        </ns0:rPr>
      </ns0:r>
    </ns0:p>
    <ns0:sectPr>
      <ns0:pgSz ns0:h="16834" ns0:w="11909"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