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69aa"/>
          <w:sz w:val="36"/>
          <w:szCs w:val="36"/>
          <w:rtl w:val="0"/>
        </w:rPr>
        <w:t xml:space="preserve">PLAN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b3a6e"/>
          <w:sz w:val="36"/>
          <w:szCs w:val="36"/>
          <w:rtl w:val="0"/>
        </w:rPr>
        <w:t xml:space="preserve">Riesgos del proyecto SFI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b6573"/>
          <w:sz w:val="24"/>
          <w:szCs w:val="24"/>
          <w:rtl w:val="0"/>
        </w:rPr>
        <w:t xml:space="preserve">Sistema Ferretero Inteligente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· Vicente Palma · Alonso Urrutia ·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 | 3 de octubre de 2026 | Corte: cierre del Sprint 1, semana 8</w:t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769aa" w:space="8" w:sz="16" w:val="single"/>
        </w:pBdr>
        <w:spacing w:after="280" w:before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Contenido del plan</w:t>
      </w:r>
    </w:p>
    <w:tbl>
      <w:tblPr>
        <w:tblStyle w:val="Table2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Contexto, alcance y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Escalas y matriz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Registro priorizado 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Detalle por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Plan de tratamiento y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Criterios de escalamiento y cierre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Contexto, alcance y método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SFI es un ecommerce para ferreterías con asistencia de IA para proyectos, recomendaciones de materiales y estimaciones de cantidades, costos y tiempos. Incluye cuentas, catálogo, carrito, Transbank, operación de bodega, stock, Kardex, sugerencias de compra, retiro, despachos, perfiles y crédito comercial de maestros. Los maestros se promocionan y facilitan su contacto; la negociación y ejecución de obras ocurren fuera de SFI. El piloto se sitúa en Quilicura y la empresa cliente es Grupo Punto Obra. El modelo contempla vender e implementar el producto para varios clientes empresariales.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Actualización al 3 de octubre de 2026: el proyecto comprende 18 semanas y tres sprints. Las semanas 1 a 8 integran el Sprint 1, cuyo cierre corresponde a la semana 8. El seguimiento se realiza mediante Weekly los jueves. El Sprint 2 incorpora IA, stock, Kardex, maestros, crédito, visibilidad, sugerencias de compra y despachos; el Sprint 3 concentra QA final, documentación y entrega. Los periodos restantes se controlan mediante la Carta Gantt aprobada.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 Objetivos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eventos que puedan afectar plazo, costo, calidad, seguridad, operación o aceptación del proyecto.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Priorizar los riesgos con una escala común de probabilidad e impacto.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Asignar un dueño, medidas preventivas, señales tempranas y contingencia para cada riesgo.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la exposición durante las 18 semanas y evitar que riesgos críticos lleguen sin tratamiento al piloto.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 Roles de gestión</w:t>
      </w:r>
    </w:p>
    <w:tbl>
      <w:tblPr>
        <w:tblStyle w:val="Table3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2200"/>
        <w:gridCol w:w="1700"/>
        <w:gridCol w:w="5460"/>
        <w:tblGridChange w:id="0">
          <w:tblGrid>
            <w:gridCol w:w="2200"/>
            <w:gridCol w:w="1700"/>
            <w:gridCol w:w="546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Responsabilidad de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Felipe Chávez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Jefe de Proyecto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Gobernanza, alcance, arquitectura, presupuesto, contratos y escalamiento.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Vicente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Frontend, experiencia de compra, interfaces, capacitación y adopción.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Alonso Urrutia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IA, backend, datos, infraestructura, integraciones y despliegue.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Franco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Calidad, seguridad funcional, pruebas, integraciones, incidentes y soporte.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1.3 Método de tratamiento</w:t>
      </w:r>
    </w:p>
    <w:tbl>
      <w:tblPr>
        <w:tblStyle w:val="Table4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Modificar alcance o diseño para eliminar la causa o impedir una exposición no aceptable.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Mitigar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Reducir probabilidad o impacto mediante controles verificables.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Transferir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Asignar parte del impacto a proveedor, contrato, seguro o especialista.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Asumir la exposición con responsable, monitoreo y contingencia explícita.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Evaluación de riesgos</w:t>
      </w:r>
    </w:p>
    <w:p w:rsidR="00000000" w:rsidDel="00000000" w:rsidP="00000000" w:rsidRDefault="00000000" w:rsidRPr="00000000" w14:paraId="0000003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Escala de probabilidad</w:t>
      </w:r>
    </w:p>
    <w:tbl>
      <w:tblPr>
        <w:tblStyle w:val="Table5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700"/>
        <w:gridCol w:w="1700"/>
        <w:gridCol w:w="6960"/>
        <w:tblGridChange w:id="0">
          <w:tblGrid>
            <w:gridCol w:w="700"/>
            <w:gridCol w:w="1700"/>
            <w:gridCol w:w="696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 para SFI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 excepcional; no hay antecedentes y los controles son sólidos.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Poco probable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 ocurrir en circunstancias aisladas.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Posible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Existe una posibilidad real durante el proyecto o piloto.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Probable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espera que ocurra si no se aplican controles adicionales.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Casi segura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ocurre, es recurrente o existe evidencia directa.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Escala de impacto</w:t>
      </w:r>
    </w:p>
    <w:tbl>
      <w:tblPr>
        <w:tblStyle w:val="Table6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700"/>
        <w:gridCol w:w="1700"/>
        <w:gridCol w:w="6960"/>
        <w:tblGridChange w:id="0">
          <w:tblGrid>
            <w:gridCol w:w="700"/>
            <w:gridCol w:w="1700"/>
            <w:gridCol w:w="696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 para SFI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Insignificante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 menor; sin efecto en clientes, seguridad ni hito.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Retrabajo acotado; demora de hasta 2 días; impacto reversible.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Moderado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Demora de 3 a 5 días, costo adicional o reclamos limitados.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Mayor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Compromete un hito, datos, ingresos, adopción o reputación.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 causar daño, incumplimiento, pérdida severa de datos o fracaso del piloto.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Matriz de probabilidad e impacto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nivel inicial se calcula como Probabilidad × Impacto. Los controles reducen principalmente la probabilidad; el impacto se mantiene alto cuando existe seguridad, datos, pagos o responsabilidad frente al cliente.</w:t>
      </w:r>
    </w:p>
    <w:tbl>
      <w:tblPr>
        <w:tblStyle w:val="Table7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200"/>
        <w:gridCol w:w="1632"/>
        <w:gridCol w:w="1632"/>
        <w:gridCol w:w="1632"/>
        <w:gridCol w:w="1632"/>
        <w:gridCol w:w="1632"/>
        <w:tblGridChange w:id="0">
          <w:tblGrid>
            <w:gridCol w:w="1200"/>
            <w:gridCol w:w="1632"/>
            <w:gridCol w:w="1632"/>
            <w:gridCol w:w="1632"/>
            <w:gridCol w:w="1632"/>
            <w:gridCol w:w="1632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 \ 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a5a0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c2410c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TEC-01, TEC-04, OPE-02, OPE-03, LFI-01, LFI-02, TEC-06</w:t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TEC-02, TEC-05, OPE-01, EXT-02, EXT-03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9b1c1c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EXT-05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ORG-02, ORG-03, LFI-04, LFI-05, EXT-01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TEC-03, ORG-01, OPE-04, OPE-05, LFI-03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9b1c1c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a5a0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ORG-04, EXT-04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ORG-05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c2410c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a5a0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a5a0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c2410c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4e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a5a00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Umbrales: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Bajo 1–4 · Medio 5–9 · Alto 10–16 · Crítico 17–25.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Registro priorizado de riesgos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tabla ordena los riesgos por severidad inicial. El detalle de causas, señales, controles y contingencia se desarrolla en la sección 4.</w:t>
      </w:r>
    </w:p>
    <w:tbl>
      <w:tblPr>
        <w:tblStyle w:val="Table8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760"/>
        <w:gridCol w:w="3460"/>
        <w:gridCol w:w="500"/>
        <w:gridCol w:w="500"/>
        <w:gridCol w:w="640"/>
        <w:gridCol w:w="1100"/>
        <w:gridCol w:w="2400"/>
        <w:tblGridChange w:id="0">
          <w:tblGrid>
            <w:gridCol w:w="760"/>
            <w:gridCol w:w="3460"/>
            <w:gridCol w:w="500"/>
            <w:gridCol w:w="500"/>
            <w:gridCol w:w="640"/>
            <w:gridCol w:w="11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Ciberataques, fraude o abuso automatizado desde Internet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Alonso Urrutia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Baja adopción por ferreterías, clientes o maestros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Vicente Palma / Felipe Chávez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OPE-01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Venta o recomendación de productos sin disponibilidad real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Falla de integración con inventario, pagos o gestión de pedidos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Recomendaciones incorrectas o inseguras del chatbot con 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LFI-03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Desviación del presupuesto de desarrollo, infraestructura o IA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Alonso Urrutia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OPE-04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Confusión sobre el alcance del directorio de maestros y contacto externo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Vicente Palma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OPE-05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Defectos de versión y saturación del soporte en el piloto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Todo el equipo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Crecimiento no controlado del alcance durante las 18 semanas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Datos inconsistentes de catálogo, precios, unidades o stock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LFI-01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Tratamiento inadecuado de datos personales y conversaciones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LFI-02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Responsabilidad por recomendaciones, productos o servicios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OPE-02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Errores de pago y conciliación con Transbank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OPE-03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Publicación de perfiles de maestros con datos o documentos inconsistentes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Felipe Chávez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Indisponibilidad de la plataforma o de sus servicios principales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TEC-04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Pérdida de información o recuperación incompleta ante incidente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TEC-06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Acceso cruzado o mezcla de datos entre clientes empresariales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Caída o cambio de condiciones de proveedores externos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LFI-04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Morosidad o fraude en el crédito ofrecido a maestros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LFI-05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Conflictos contractuales sobre alcance, aceptación o propiedad intelectual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ORG-02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Dependencia de conocimiento concentrado en un integrante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Todo el equipo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ORG-03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Roles, autoridad o criterios de decisión poco claros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ORG-05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Falta de capacitación y resistencia al cambio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Vicente Palma / Franco Miranda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Variaciones económicas y de demanda que afectan precios y ventas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ORG-04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Comunicación insuficiente con la ferretería piloto y usuarios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Vicente Palma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Cambios regulatorios aplicables a comercio electrónico, IA o crédito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</w:tbl>
    <w:p w:rsidR="00000000" w:rsidDel="00000000" w:rsidP="00000000" w:rsidRDefault="00000000" w:rsidRPr="00000000" w14:paraId="0000014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Detalle de riesgos por categoría</w:t>
      </w:r>
    </w:p>
    <w:p w:rsidR="00000000" w:rsidDel="00000000" w:rsidP="00000000" w:rsidRDefault="00000000" w:rsidRPr="00000000" w14:paraId="0000014A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mantienen cinco categorías: técnicos, organizacionales, operacionales, legales y financieros, y externos. El registro comprende 26 riesgos, incluidos los controles de aislamiento entre clientes empresariales.</w:t>
      </w:r>
    </w:p>
    <w:p w:rsidR="00000000" w:rsidDel="00000000" w:rsidP="00000000" w:rsidRDefault="00000000" w:rsidRPr="00000000" w14:paraId="0000014B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Riesgos técnicos</w:t>
      </w:r>
    </w:p>
    <w:p w:rsidR="00000000" w:rsidDel="00000000" w:rsidP="00000000" w:rsidRDefault="00000000" w:rsidRPr="00000000" w14:paraId="0000014C">
      <w:pPr>
        <w:keepNext w:val="1"/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Arquitectura, integraciones, datos, infraestructura, seguridad técnica e inteligencia artificial.</w:t>
      </w:r>
    </w:p>
    <w:tbl>
      <w:tblPr>
        <w:tblStyle w:val="Table9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TEC-01  |  Indisponibilidad de la plataforma o de sus servicios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Mitigar  ·  Meta residual: P2 × I4 = 8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 configuración defectuosa, capacidad insuficiente o caída de componentes de nube deja fuera de servicio el catálogo, carrito, chatbot o panel de administración, interrumpiendo ventas y atención.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Errores 5xx por sobre el umbral, latencia creciente, reinicios repetidos, saturación de CPU/memoria o alertas de disponibilidad.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Arquitectura desacoplada; monitoreo de disponibilidad y latencia; capacidad dimensionada y escalable; entornos separados; despliegue gradual; pruebas de carga y procedimiento de reversa.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Activar modo degradado sin chatbot, revertir la última versión, levantar servicios redundantes, comunicar el incidente y recuperar desde respaldos si corresponde.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Felipe Chávez</w:t>
            </w:r>
          </w:p>
        </w:tc>
      </w:tr>
    </w:tbl>
    <w:p w:rsidR="00000000" w:rsidDel="00000000" w:rsidP="00000000" w:rsidRDefault="00000000" w:rsidRPr="00000000" w14:paraId="0000015B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TEC-02  |  Falla de integración con inventario, pagos o gestión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P4 × I5 = 20 (Crítico)  ·  Estrategia: Mitigar  ·  Meta residual: P2 × I5 = 10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APIs incompletas, cambios de contrato o sincronizaciones fallidas provocan stock incorrecto, cobros sin pedido, pedidos duplicados o estados inconsistentes entre SFI y la ferretería.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Diferencias entre stock físico y publicado, colas de eventos atrasadas, respuestas y confirmaciones de Transbank rechazados, pagos sin orden asociada o reintentos crecientes.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Contratos de API versionados; idempotencia; validación de datos; colas con reintentos; pruebas de integración automatizadas; ambiente de pruebas y conciliación diaria.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Pausar ventas del producto afectado, reconciliar transacciones, procesar manualmente excepciones, restaurar la versión estable y escalar al proveedor o área dueña de la API.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16A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TEC-03  |  Datos inconsistentes de catálogo, precios, unidades o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I4 = 16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Códigos duplicados, unidades de medida incompatibles o cargas manuales deficientes hacen que SFI recomiende o venda cantidades, precios o productos equivocados.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Productos sin unidad, precios fuera de rango, SKU repetidos, variaciones abruptas de stock o reclamos por diferencias entre web y tienda.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Modelo maestro de datos; reglas de validación; bitácora de cambios; catálogo de unidades; responsables por dato; importaciones de prueba y auditorías periódicas.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Bloquear registros sospechosos, volver a la última versión validada del catálogo, corregir en lote, revisar pedidos afectados y notificar a clientes cuando sea necesario.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179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TEC-04  |  Pérdida de información o recuperación incompleta ante incidente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Mitigar  ·  Meta residual: P2 × I4 = 8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 ciberataque, borrado accidental o respaldo mal configurado elimina pedidos, clientes, maestros, historial del chatbot o datos de inventario y dificulta restablecer la operación.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Fallos de respaldo, cambios masivos no autorizados, cifrado de archivos, cuentas privilegiadas anómalas o incumplimiento de los objetivos de recuperación.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Respaldos cifrados y separados; política 3-2-1; restauraciones ensayadas; privilegios mínimos; MFA; registro de auditoría y objetivos RPO/RTO definidos.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Aislar sistemas, activar respuesta a incidentes, preservar evidencia, restaurar el último respaldo íntegro, validar consistencia y comunicar conforme al protocolo.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188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TEC-05  |  Recomendaciones incorrectas o inseguras del chatbot con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P4 × I5 = 20 (Crítico)  ·  Estrategia: Evitar y mitigar  ·  Meta residual: P2 × I5 = 10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Información incompleta del cliente, alucinaciones o falta de restricciones lleva al chatbot a recomendar materiales, cantidades o procedimientos inadecuados, especialmente en trabajos eléctricos, de gas o estructurales.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Respuestas sin fuente o justificación, confianza baja, instrucciones de alto riesgo, contradicciones con fichas técnicas o reportes negativos de usuarios.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Catálogo y fichas verificadas; preguntas obligatorias; límites de dominio; plantillas de respuesta; consulta de información validada del catálogo; evaluación de casos; filtros de seguridad y derivación a especialista.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emitir instrucciones peligrosas; mostrar advertencia y solicitar más datos; derivar a un maestro validado; retirar la respuesta; registrar el caso y ajustar reglas/modelo antes de reactivar.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197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TEC-06 | Acceso cruzado o mezcla de datos entre clientes empresariales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P3 × I5 = 15 (Alto) · Estrategia: Evitar y mitigar · Meta residual: P2 × I5 = 10 (Alto)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venta e implementación a varios clientes puede exponer cuentas, pedidos, catálogo, inventario o crédito de una empresa a otra si falta aislamiento en consultas, permisos, archivos o configuración.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Respuesta, documento o pedido de otra empresa visible desde una cuenta de cliente.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la separación de datos de cada implementación; restringir consultas y archivos por cliente; separar credenciales y configuración; probar accesos cruzados. Si se adopta infraestructura compartida, validar el aislamiento antes de habilitarla.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Suspender la función afectada, aislar accesos, conservar registros, corregir permisos y ejecutar regresión por empresa antes de reactivar.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Riesgos organizacionales</w:t>
      </w:r>
    </w:p>
    <w:p w:rsidR="00000000" w:rsidDel="00000000" w:rsidP="00000000" w:rsidRDefault="00000000" w:rsidRPr="00000000" w14:paraId="000001A7">
      <w:pPr>
        <w:keepNext w:val="1"/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Alcance, coordinación, responsabilidades, conocimiento, comunicación y adopción interna.</w:t>
      </w:r>
    </w:p>
    <w:tbl>
      <w:tblPr>
        <w:tblStyle w:val="Table15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ORG-01  |  Crecimiento no controlado del alcance durante las 18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I4 = 16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incorporan funciones no priorizadas —crédito avanzado, múltiples tiendas, despacho complejo o nuevas integraciones— sin ajustar plazo, presupuesto ni capacidad del equipo.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Historias nuevas en cada revisión, cambios sin estimación, tareas críticas postergadas o aumento sostenido del trabajo pendiente.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MVP y criterios de aceptación aprobados; backlog priorizado; control de cambios; estimación de impacto y congelamiento de alcance antes del piloto.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Reordenar backlog, trasladar funciones a una fase posterior, renegociar hitos y conservar únicamente el flujo mínimo de compra, IA y maestros.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</w:tbl>
    <w:p w:rsidR="00000000" w:rsidDel="00000000" w:rsidP="00000000" w:rsidRDefault="00000000" w:rsidRPr="00000000" w14:paraId="000001B6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ORG-02  |  Dependencia de conocimiento concentrado en un integrante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I4 = 12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arquitectura, IA, frontend o pruebas quedan dominadas por una sola persona; una ausencia o sobrecarga detiene decisiones, correcciones y entregas.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Componentes sin revisor alterno, documentación atrasada, bloqueos mayores a dos días o tareas que nadie más puede desplegar.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Revisión cruzada; programación conjunta en módulos críticos; documentación viva; rotación de soporte; repositorio común y guía de recuperación del entorno.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Reasignar prioridades, activar respaldo por rol, reducir temporalmente alcance, documentar decisiones pendientes y contratar apoyo puntual si el hito queda comprometido.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Todo el equipo</w:t>
            </w:r>
          </w:p>
        </w:tc>
      </w:tr>
    </w:tbl>
    <w:p w:rsidR="00000000" w:rsidDel="00000000" w:rsidP="00000000" w:rsidRDefault="00000000" w:rsidRPr="00000000" w14:paraId="000001C5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ORG-03  |  Roles, autoridad o criterios de decisión poco claros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I4 = 12 (Alto)  ·  Estrategia: Mitigar  ·  Meta residual: P1 × I3 = 3 (Bajo)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Dudas sobre quién aprueba arquitectura, interfaz, seguridad o aceptación generan decisiones contradictorias y retrasos en cambios urgentes.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Aprobaciones duplicadas, tareas sin dueño, discusiones repetidas o decisiones que no quedan registradas.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RACI; responsable único por entregable; actas breves; registro de decisiones técnicas y ventanas de aprobación definidas.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Escalar al Jefe de Proyecto, resolver con los criterios del MVP, registrar la decisión y actualizar la RACI para evitar recurrencia.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</w:tbl>
    <w:p w:rsidR="00000000" w:rsidDel="00000000" w:rsidP="00000000" w:rsidRDefault="00000000" w:rsidRPr="00000000" w14:paraId="000001D4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ORG-04  |  Comunicación insuficiente con la ferretería piloto y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P3 × I3 = 9 (Medio)  ·  Estrategia: Mitigar  ·  Meta residual: P2 × I2 = 4 (Bajo)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equipo construye flujos que no reflejan la operación real de catálogo, preparación de pedidos, despacho o contacto externo de maestros.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Retroalimentación tardía, requisitos contradictorios, baja asistencia a demostraciones o rechazo de prototipos ya desarrollados.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Entrevistas y demostraciones quincenales; prototipos tempranos; registro de acuerdos; usuario referente y criterios de aceptación observables.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sesión de alineación, identificar brechas, ajustar primero los flujos críticos y diferir mejoras no esenciales.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Vicente Palma</w:t>
            </w:r>
          </w:p>
        </w:tc>
      </w:tr>
    </w:tbl>
    <w:p w:rsidR="00000000" w:rsidDel="00000000" w:rsidP="00000000" w:rsidRDefault="00000000" w:rsidRPr="00000000" w14:paraId="000001E3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ORG-05  |  Falta de capacitación y resistencia al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I3 = 12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Personal de la ferretería, clientes o maestros evita usar la plataforma o comete errores por desconocer el registro, gestión de pedidos, recomendaciones y soporte.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Abandono en onboarding, consultas repetitivas, uso de planillas paralelas, errores de carga o baja activación de cuentas.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simple; ayudas contextuales; manual breve; videos; capacitación por rol; ambiente de práctica y medición de tareas completadas.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Refuerzo individual, simplificación del flujo, soporte en terreno durante el piloto y desactivación temporal de funciones que generen errores recurrentes.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Vicente Palma / Franco Miranda</w:t>
            </w:r>
          </w:p>
        </w:tc>
      </w:tr>
    </w:tbl>
    <w:p w:rsidR="00000000" w:rsidDel="00000000" w:rsidP="00000000" w:rsidRDefault="00000000" w:rsidRPr="00000000" w14:paraId="000001F2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 Riesgos operacionales</w:t>
      </w:r>
    </w:p>
    <w:p w:rsidR="00000000" w:rsidDel="00000000" w:rsidP="00000000" w:rsidRDefault="00000000" w:rsidRPr="00000000" w14:paraId="000001F4">
      <w:pPr>
        <w:keepNext w:val="1"/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Ejecución diaria de ventas, pagos, pedidos, maestros, incidencias y soporte del piloto.</w:t>
      </w:r>
    </w:p>
    <w:tbl>
      <w:tblPr>
        <w:tblStyle w:val="Table20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OPE-01  |  Venta o recomendación de productos sin disponibilidad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P4 × I5 = 20 (Crítico)  ·  Estrategia: Mitigar  ·  Meta residual: P2 × I5 = 10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sincronización tardía o la reserva deficiente permite comprar materiales agotados, dejando proyectos incompletos y generando devoluciones o reclamos.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Stock negativo, cancelaciones por falta de producto, diferencias en conteos cíclicos o alta frecuencia de sustituciones manuales.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Reserva transaccional; stock de seguridad; sincronización frecuente; reglas para sustitutos; bloqueo automático y conciliación de inventario.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Contactar al cliente, ofrecer sustituto equivalente validado o devolución, actualizar el pedido y corregir inmediatamente el stock publicado.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203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OPE-02 | Errores de pago y conciliación con Transbank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Mitigar y transferir  ·  Meta residual: P2 × I4 = 8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pago puede duplicarse o quedar aprobado sin pedido si fallan las confirmaciones de Transbank o el control de reintentos. Cada transacción debe quedar vinculada con la compra y su estado.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Pago aprobado sin pedido, referencia duplicada o divergencia entre Webpay y el estado de compra.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respuestas de Webpay, referencias y estados de compra; aplicar idempotencia y trazabilidad; probar pagos aprobados, rechazados, cancelados y repetidos; conciliar pagos y pedidos.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Pausar la operación afectada, conciliar con la pasarela, corregir el pedido o gestionar devolución de un cobro indebido según el procedimiento del cliente.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Franco Miranda</w:t>
            </w:r>
          </w:p>
        </w:tc>
      </w:tr>
    </w:tbl>
    <w:p w:rsidR="00000000" w:rsidDel="00000000" w:rsidP="00000000" w:rsidRDefault="00000000" w:rsidRPr="00000000" w14:paraId="00000212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OPE-03 | Publicación de perfiles de maestros con datos o documentos inconsistentes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Evitar y mitigar  ·  Meta residual: P2 × I4 = 8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aprobación incorrecta de identidad, especialidad o documentación puede publicar perfiles engañosos y afectar la confianza y privacidad. La publicación no garantiza la calidad de una obra ni constituye contratación dentro de SFI.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Perfil publicado sin aprobación, documento accesible por otro usuario o datos inconsistentes.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datos y documentos de registro; restringir acceso a documentación; aprobar publicación por rol; probar visibilidad pública y privada; informar el alcance de promoción y contacto.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Ocultar el perfil cuestionado, conservar evidencia, revisar antecedentes y corregir publicación o permisos. Las controversias sobre obras se resuelven entre las partes externas.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Felipe Chávez</w:t>
            </w:r>
          </w:p>
        </w:tc>
      </w:tr>
    </w:tbl>
    <w:p w:rsidR="00000000" w:rsidDel="00000000" w:rsidP="00000000" w:rsidRDefault="00000000" w:rsidRPr="00000000" w14:paraId="00000221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OPE-04 | Confusión sobre el alcance del directorio de maestros y contacto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I4 = 16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puede interpretar que SFI contrata, supervisa o garantiza obras al contactar un maestro publicado. Esto puede generar reclamos y afectar la reputación del producto.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Mensajes que prometen contratación, garantía de obra o gestión de disputas desde SFI.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 aviso de negociación y ejecución externas junto al contacto; revisar textos y diseño; excluir órdenes de servicio, reservas contractuales de obra, mediación, reasignación y reembolsos de trabajos del alcance de SFI.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Aclarar el alcance del directorio, revisar la comunicación cuestionada y registrar la incidencia de publicación. La plataforma atiende problemas de cuenta y visibilidad; no gestiona el contrato de obra.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Vicente Palma</w:t>
            </w:r>
          </w:p>
        </w:tc>
      </w:tr>
    </w:tbl>
    <w:p w:rsidR="00000000" w:rsidDel="00000000" w:rsidP="00000000" w:rsidRDefault="00000000" w:rsidRPr="00000000" w14:paraId="00000230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OPE-05  |  Defectos de versión y saturación del soporte en el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I4 = 16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 versión con fallos o demasiadas consultas simultáneas supera la capacidad del equipo, prolonga incidentes y deteriora la adopción inicial.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Aumento de defectos críticos, tickets sin responder, regresiones, despliegues de emergencia o tiempo medio de resolución creciente.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pruebas por riesgo; automatización de regresión; criterios de salida; piloto acotado; turnos de soporte; base de conocimiento y tablero de incidentes.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Congelar cambios, priorizar severidad 1 y 2, revertir versión, activar modo degradado, informar estado y programar corrección verificable.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Todo el equipo</w:t>
            </w:r>
          </w:p>
        </w:tc>
      </w:tr>
    </w:tbl>
    <w:p w:rsidR="00000000" w:rsidDel="00000000" w:rsidP="00000000" w:rsidRDefault="00000000" w:rsidRPr="00000000" w14:paraId="0000023F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4.4 Riesgos legales y financieros</w:t>
      </w:r>
    </w:p>
    <w:p w:rsidR="00000000" w:rsidDel="00000000" w:rsidP="00000000" w:rsidRDefault="00000000" w:rsidRPr="00000000" w14:paraId="00000241">
      <w:pPr>
        <w:keepNext w:val="1"/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Datos personales, responsabilidad, contratos, costos, presupuesto y crédito.</w:t>
      </w:r>
    </w:p>
    <w:tbl>
      <w:tblPr>
        <w:tblStyle w:val="Table25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LFI-01  |  Tratamiento inadecuado de datos personales y conversaciones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Evitar y mitigar  ·  Meta residual: P2 × I4 = 8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SFI recopila más datos de los necesarios, carece de consentimiento o retiene conversaciones, direcciones, pagos o antecedentes de maestros sin controles suficientes.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Campos sin finalidad, accesos no justificados, solicitudes de eliminación no atendidas, exportaciones manuales o datos sensibles en registros técnicos.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Privacidad desde el diseño; minimización; consentimiento y finalidad; retención definida; control de acceso; cifrado; registro de tratamiento y canal de derechos.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Contener el acceso, evaluar alcance, revocar credenciales, preservar evidencia, atender a los afectados y ejecutar el protocolo legal y comunicacional.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Felipe Chávez</w:t>
            </w:r>
          </w:p>
        </w:tc>
      </w:tr>
    </w:tbl>
    <w:p w:rsidR="00000000" w:rsidDel="00000000" w:rsidP="00000000" w:rsidRDefault="00000000" w:rsidRPr="00000000" w14:paraId="00000250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LFI-02  |  Responsabilidad por recomendaciones, productos o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I5 = 15 (Alto)  ·  Estrategia: Evitar y transferir  ·  Meta residual: P2 × I5 = 10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Una recomendación de IA o una comunicación ambigua sobre productos y perfiles puede generar reclamos. SFI proporciona orientación y contacto informativo; las negociaciones y obras se realizan externamente.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Consultas sobre instalaciones reguladas, daños reportados, ausencia de aceptación de términos o instrucciones que exceden el uso informativo.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límites de las recomendaciones; revisar fichas y cantidades; evitar instrucciones para trabajos críticos; informar alcance externo del directorio; registrar cambios de términos y mensajes.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Retirar contenido riesgoso, preservar registros, revisar el caso con el cliente empresarial y ajustar controles antes de reactivar la función.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</w:tbl>
    <w:p w:rsidR="00000000" w:rsidDel="00000000" w:rsidP="00000000" w:rsidRDefault="00000000" w:rsidRPr="00000000" w14:paraId="0000025F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LFI-03 | Desviación del presupuesto de desarrollo, infraestructura o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P4 × I4 = 16 (Alto)  ·  Estrategia: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Retrabajo, consumo de IA y recursos sobredimensionados pueden superar el presupuesto de referencia de 100.000.000 CLP. El proyecto contempla costos directos con adicional del 15 % y reserva de 1.500.000 CLP; esta reserva no implica gasto realizado. El modelo es venta e implementación para empresas, con hitos al inicio de cada sprint y mantención por cinco años separada del presupuesto inicial.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Gasto o compromisos por encima de lo planificado; uso de reserva sin aprobación.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Comparar gasto y compromisos contra el flujo aprobado; controlar consumo de IA e infraestructura; revisar impactos antes de aceptar cambios; autorizar uso de reserva y actualizar hitos de pago.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Priorizar trabajo esencial, ajustar consumo y capacidad, registrar impacto y acordar cambios de alcance o presupuesto con el cliente antes de comprometerlos.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Alonso Urrutia</w:t>
            </w:r>
          </w:p>
        </w:tc>
      </w:tr>
    </w:tbl>
    <w:p w:rsidR="00000000" w:rsidDel="00000000" w:rsidP="00000000" w:rsidRDefault="00000000" w:rsidRPr="00000000" w14:paraId="0000026E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LFI-04  |  Morosidad o fraude en el crédito ofrecido a maestros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I4 = 12 (Alto)  ·  Estrategia: Evitar y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crédito comercial de maestros puede presentar fraude o impago por validación insuficiente, cupos inconsistentes o aumentos sin historial. SFI controla cupo, saldo y permisos; la ferretería decide aprobación, condiciones y cobranza.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Atrasos, múltiples cuentas asociadas, compras atípicas, cambios de identidad o aumento rápido del monto utilizado.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reglas comerciales con la ferretería; validar identidad y roles; impedir sobregiro; auditar cambios de cupo; probar concurrencia y compras repetidas; limitar exposición del piloto.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Bloquear nuevas compras a crédito, conciliar saldo y operaciones y escalar a la ferretería responsable de decidir regularización o cobranza.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</w:tbl>
    <w:p w:rsidR="00000000" w:rsidDel="00000000" w:rsidP="00000000" w:rsidRDefault="00000000" w:rsidRPr="00000000" w14:paraId="0000027D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LFI-05  |  Conflictos contractuales sobre alcance, aceptación o propiedad intelectual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I4 = 12 (Alto)  ·  Estrategia: Mitigar  ·  Meta residual: P1 × I3 = 3 (Bajo)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empresa compradora o ferretería interpreta de forma distinta las funciones incluidas, plazos, soporte, entregables, licencias o titularidad del código y datos.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Solicitudes fuera de alcance, hitos sin firma, pagos retenidos, criterios ambiguos o uso de componentes sin licencia registrada.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Contrato y SOW; entregables y exclusiones; aceptación por hito; propiedad y licencias; niveles de soporte; control de cambios y repositorio de evidencias.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Congelar el cambio discutido, revisar documentación, negociar un anexo, separar correcciones de ampliaciones y escalar a asesoría antes de continuar.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</w:tbl>
    <w:p w:rsidR="00000000" w:rsidDel="00000000" w:rsidP="00000000" w:rsidRDefault="00000000" w:rsidRPr="00000000" w14:paraId="0000028C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4.5 Riesgos externos</w:t>
      </w:r>
    </w:p>
    <w:p w:rsidR="00000000" w:rsidDel="00000000" w:rsidP="00000000" w:rsidRDefault="00000000" w:rsidRPr="00000000" w14:paraId="0000028E">
      <w:pPr>
        <w:keepNext w:val="1"/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Proveedores, ataques, mercado, economía y cambios regulatorios fuera del control directo del equipo.</w:t>
      </w:r>
    </w:p>
    <w:tbl>
      <w:tblPr>
        <w:tblStyle w:val="Table30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EXT-01  |  Caída o cambio de condiciones de proveedores externos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2410c"/>
                <w:sz w:val="24"/>
                <w:szCs w:val="24"/>
                <w:rtl w:val="0"/>
              </w:rPr>
              <w:t xml:space="preserve">P3 × I4 = 12 (Alto)  ·  Estrategia: Mitigar y transferir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pasarela de pago, servicio de IA, correo, mapas, hosting o API de la ferretería queda indisponible, cambia precios o modifica su interfaz.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Avisos de deprecación, incumplimiento de SLA, aumento de errores, alza tarifaria o cambios de cuota.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Abstracción por proveedor; versionado; monitoreo; límites; contratos/SLA; exportación de datos y evaluación de alternativas críticas.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Usar proveedor alternativo o modo degradado, poner en cola solicitudes, comunicar la limitación y ejecutar el plan de migración priorizado.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Urrutia / Felipe Chávez</w:t>
            </w:r>
          </w:p>
        </w:tc>
      </w:tr>
    </w:tbl>
    <w:p w:rsidR="00000000" w:rsidDel="00000000" w:rsidP="00000000" w:rsidRDefault="00000000" w:rsidRPr="00000000" w14:paraId="0000029D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EXT-02  |  Ciberataques, fraude o abuso automatizado desde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P4 × I5 = 20 (Crítico)  ·  Estrategia: Mitigar  ·  Meta residual: P2 × I5 = 10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Actores externos realizan robo de credenciales, ataques de denegación, fraude de pago, scraping, prompt injection o creación masiva de cuentas.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Intentos de acceso anómalos, tráfico abrupto, patrones repetitivos, contracargos, consultas diseñadas para extraer instrucciones o secretos.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MFA administrativo; WAF; rate limiting; gestión de secretos; detección de fraude; validación de entradas; pruebas de seguridad y respuesta ensayada.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Bloquear origen/cuenta, rotar credenciales, aislar servicio, preservar registros, activar proveedor antifraude y restablecer de forma controlada.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Miranda / Alonso Urrutia</w:t>
            </w:r>
          </w:p>
        </w:tc>
      </w:tr>
    </w:tbl>
    <w:p w:rsidR="00000000" w:rsidDel="00000000" w:rsidP="00000000" w:rsidRDefault="00000000" w:rsidRPr="00000000" w14:paraId="000002AC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EXT-03  |  Baja adopción por ferreterías, clientes o maestros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2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1c1c"/>
                <w:sz w:val="24"/>
                <w:szCs w:val="24"/>
                <w:rtl w:val="0"/>
              </w:rPr>
              <w:t xml:space="preserve">P4 × I5 = 20 (Crítico)  ·  Estrategia: Mitigar  ·  Meta residual: P3 × I4 = 12 (Alto)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empresarial y sus usuarios pueden no adoptar el ecommerce, la asistencia de IA o el directorio. Esto afecta aceptación, uso y posibilidades de venta e implementación a otros clientes; no equivale a ingresos futuros garantizados.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Pocas altas activas, conversión baja, abandono del onboarding, escasa recurrencia o rechazo de ferreterías al modelo comercial.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piloto con usuarios del cliente, simplificar acceso y navegación, medir tareas de compra y contacto, y ajustar propuesta de valor según observaciones.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Priorizar barreras de uso, reforzar capacitación y ajustar la implementación por cliente mediante cambios acordados.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Vicente Palma / Felipe Chávez</w:t>
            </w:r>
          </w:p>
        </w:tc>
      </w:tr>
    </w:tbl>
    <w:p w:rsidR="00000000" w:rsidDel="00000000" w:rsidP="00000000" w:rsidRDefault="00000000" w:rsidRPr="00000000" w14:paraId="000002BB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EXT-04  |  Variaciones económicas y de demanda que afectan precios y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P3 × I3 = 9 (Medio)  ·  Estrategia: Aceptar y mitigar  ·  Meta residual: P3 × I2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Inflación, menor actividad de construcción o cambios de precio de materiales reducen márgenes, alteran presupuestos y vuelven obsoletas estimaciones del chatbot.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Cambios frecuentes de lista, menor conversión, márgenes decrecientes o diferencias entre precio recomendado y precio efectivo.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Precios con vigencia; actualización frecuente; márgenes y supuestos visibles; seguimiento de categorías y escenarios conservadores.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Recalcular presupuestos, avisar vigencia, ajustar promoción y catálogo, priorizar productos de mejor rotación y revisar metas financieras.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</w:t>
            </w:r>
          </w:p>
        </w:tc>
      </w:tr>
    </w:tbl>
    <w:p w:rsidR="00000000" w:rsidDel="00000000" w:rsidP="00000000" w:rsidRDefault="00000000" w:rsidRPr="00000000" w14:paraId="000002CA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1700"/>
        <w:gridCol w:w="7660"/>
        <w:tblGridChange w:id="0">
          <w:tblGrid>
            <w:gridCol w:w="1700"/>
            <w:gridCol w:w="766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EXT-05  |  Cambios regulatorios aplicables a comercio electrónico, IA o 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EXPOSICIÓN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7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a00"/>
                <w:sz w:val="24"/>
                <w:szCs w:val="24"/>
                <w:rtl w:val="0"/>
              </w:rPr>
              <w:t xml:space="preserve">P2 × I4 = 8 (Medio)  ·  Estrategia: Aceptar y mitigar  ·  Meta residual: P2 × I3 = 6 (Medio)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Nuevas exigencias sobre datos, transparencia algorítmica, consumidores, contratación digital o financiamiento obligan a modificar flujos y contratos.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SEÑALES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Publicación de nuevas normas, requerimientos de clientes empresariales, auditorías o cambios solicitados por proveedores de pago.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PREVENCIÓN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Revisión regulatoria periódica; arquitectura configurable; inventario de datos; versiones de términos y responsables de cumplimiento.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1"/>
              <w:keepLines w:val="1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Evaluar brecha, priorizar cambios obligatorios, suspender temporalmente la función afectada y actualizar contratos, controles y comunicación.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Chávez / Franco Miranda</w:t>
            </w:r>
          </w:p>
        </w:tc>
      </w:tr>
    </w:tbl>
    <w:p w:rsidR="00000000" w:rsidDel="00000000" w:rsidP="00000000" w:rsidRDefault="00000000" w:rsidRPr="00000000" w14:paraId="000002D9">
      <w:pPr>
        <w:keepNext w:val="1"/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Plan de tratamiento y seguimiento</w:t>
      </w:r>
    </w:p>
    <w:p w:rsidR="00000000" w:rsidDel="00000000" w:rsidP="00000000" w:rsidRDefault="00000000" w:rsidRPr="00000000" w14:paraId="000002DC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acciones se vinculan al Product Backlog y al Sprint Backlog. El Sprint 1 controla preparación y ecommerce, incluidos login, CRUD, cuentas, frontend, backend y Transbank. Al cierre de la semana 8 se revisan controles, defectos y evidencias sin cerrar riesgos por el solo cambio de sprint. El Sprint 2 trata IA y operación ampliada; el Sprint 3 verifica recuperación, rendimiento, piloto y entrega. Las metas residuales son objetivos; solo se consideran alcanzadas tras verificar controles y evidencia. En la tabla, S1, S2 y S3 identifican los tres sprints.</w:t>
      </w:r>
    </w:p>
    <w:tbl>
      <w:tblPr>
        <w:tblStyle w:val="Table35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620"/>
        <w:gridCol w:w="930"/>
        <w:gridCol w:w="3300"/>
        <w:gridCol w:w="1250"/>
        <w:gridCol w:w="1960"/>
        <w:gridCol w:w="1300"/>
        <w:tblGridChange w:id="0">
          <w:tblGrid>
            <w:gridCol w:w="620"/>
            <w:gridCol w:w="930"/>
            <w:gridCol w:w="3300"/>
            <w:gridCol w:w="1250"/>
            <w:gridCol w:w="1960"/>
            <w:gridCol w:w="130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S1: sem. 1–8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Aprobar MVP, RACI, criterios de cambio y registro de decisiones.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Alcance y RACI firmados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ORG-01/02/03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S1 y S3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arquitectura, observabilidad, respaldos, RPO/RTO y reversa.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/ Franco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 de restauración y runbook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TEC-01/04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S1 pagos; S2 stock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Versionar contratos de API, implementar idempotencia y conciliación.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/ Franco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de integración aprobadas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TEC-02, OPE-01/02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S1 catálogo; S2 Kardex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Depurar catálogo, unidades, precios y reglas de stock.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/ Franco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 de calidad de datos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TEC-03, OPE-01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Aplicar guardrails, consulta de información validada del catálogo, casos de evaluación y derivación del chatbot.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/ Franco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pruebas de 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TEC-05, LFI-02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Todos; validar S3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Aplicar accesos por rol, gestión de secretos y privacidad; evaluar controles adicionales según infraestructura.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/ Alonso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Checklist de seguridad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LFI-01, EXT-02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perfiles, documentos, privacidad y aviso de negociación y ejecución externas.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/ Felipe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de aprobación y visibilidad; textos del directorio revisados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OPE-03/04, LFI-02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Diseñar límites, alertas y revisión humana para crédito piloto.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/ Franco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Política de crédito piloto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LFI-04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Ejecutar pruebas funcionales, carga, seguridad y recuperación.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/ Equipo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 de pruebas y defectos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TEC-01/02/04, OPE-05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Capacitar, pilotear con usuarios y medir onboarding y conversión.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Vicente / Felipe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Métricas y actas de piloto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ORG-04/05, EXT-03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Preparar soporte, modo degradado, escalamiento y cierre de brechas.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Franco / Equipo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soporte y simulacro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OPE-05, EXT-01/02</w:t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Weekly los jueves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Revisar costo de nube/IA, consumo y desviación de presupuesto.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 / Alonso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 semanal de costo</w:t>
            </w:r>
          </w:p>
        </w:tc>
        <w:tc>
          <w:tcPr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LFI-03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A-13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Antes de varios clientes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Definir aislamiento y probar accesos entre empresas.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Alonso / Franco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Pruebas de separación de datos y configuración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TEC-06</w:t>
            </w:r>
          </w:p>
        </w:tc>
      </w:tr>
    </w:tbl>
    <w:p w:rsidR="00000000" w:rsidDel="00000000" w:rsidP="00000000" w:rsidRDefault="00000000" w:rsidRPr="00000000" w14:paraId="0000033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Cadencia de control</w:t>
      </w:r>
    </w:p>
    <w:tbl>
      <w:tblPr>
        <w:tblStyle w:val="Table36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Revisión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Weekly de los jueves: Felipe coordina; cada dueño informa señales, acciones, evidencias y fechas. Franco verifica controles. Registrar acuerdos con ID de riesgo y tarea del backlog.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Antes de cada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Reevaluar riesgos críticos y altos antes de integrar, desplegar, iniciar piloto o aceptar entrega.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Después de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causa raíz, impacto real, efectividad de la respuesta y control permanente.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solo con evidencia de que la causa desapareció, el control está operativo o el riesgo fue aceptado formalmente.</w:t>
            </w:r>
          </w:p>
        </w:tc>
      </w:tr>
    </w:tbl>
    <w:p w:rsidR="00000000" w:rsidDel="00000000" w:rsidP="00000000" w:rsidRDefault="00000000" w:rsidRPr="00000000" w14:paraId="000003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Criterios de escalamiento y cierre</w:t>
      </w:r>
    </w:p>
    <w:p w:rsidR="00000000" w:rsidDel="00000000" w:rsidP="00000000" w:rsidRDefault="00000000" w:rsidRPr="00000000" w14:paraId="0000033C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riesgo se transforma en incidente cuando el evento ocurre. Desde ese momento se gestiona por severidad, con un responsable operativo y comunicación trazable.</w:t>
      </w:r>
    </w:p>
    <w:tbl>
      <w:tblPr>
        <w:tblStyle w:val="Table37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2200"/>
        <w:gridCol w:w="4860"/>
        <w:gridCol w:w="2300"/>
        <w:tblGridChange w:id="0">
          <w:tblGrid>
            <w:gridCol w:w="2200"/>
            <w:gridCol w:w="4860"/>
            <w:gridCol w:w="2300"/>
          </w:tblGrid>
        </w:tblGridChange>
      </w:tblGrid>
      <w:tr>
        <w:trPr>
          <w:cantSplit w:val="1"/>
          <w:tblHeader w:val="1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Severidad 1 –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de personas, pérdida/exposición grave de datos, pagos comprometidos o plataforma totalmente detenida.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Inmediato; líder en 15 min; decisión en 60 min.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Severidad 2 –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Función principal degradada, ventas o integraciones afectadas, alternativa manual limitada.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Escalar en 30 min; plan de recuperación en 2 h.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Severidad 3 –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Impacto parcial, solución alternativa disponible y sin daño o pérdida relevante.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el mismo día; resolver en el sprint.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a6e"/>
                <w:sz w:val="24"/>
                <w:szCs w:val="24"/>
                <w:rtl w:val="0"/>
              </w:rPr>
              <w:t xml:space="preserve">Severidad 4 –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Defecto cosmético o inconveniente menor sin afectar compra, seguridad ni datos.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Priorizar en backlog según valor.</w:t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Reglas para el piloto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desplegar con defectos abiertos de seguridad, pagos, pérdida de datos o recomendaciones peligrosas.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Probar restauración, reversa y modo degradado antes de permitir transacciones reales.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revisión humana en recomendaciones de alto riesgo y en el crédito de maestros.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Comunicar incidentes con hechos confirmados, impacto, alternativa y próxima actualización.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Aceptar un riesgo alto únicamente mediante decisión registrada del Jefe de Proyecto y un plazo de tratamiento.</w:t>
      </w:r>
    </w:p>
    <w:p w:rsidR="00000000" w:rsidDel="00000000" w:rsidP="00000000" w:rsidRDefault="00000000" w:rsidRPr="00000000" w14:paraId="00000352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6.2 Criterio de éxito</w:t>
      </w:r>
    </w:p>
    <w:tbl>
      <w:tblPr>
        <w:tblStyle w:val="Table38"/>
        <w:tblW w:w="9360.0" w:type="dxa"/>
        <w:jc w:val="left"/>
        <w:tblBorders>
          <w:top w:color="d9dee5" w:space="0" w:sz="6" w:val="single"/>
          <w:left w:color="d9dee5" w:space="0" w:sz="6" w:val="single"/>
          <w:bottom w:color="d9dee5" w:space="0" w:sz="6" w:val="single"/>
          <w:right w:color="d9dee5" w:space="0" w:sz="6" w:val="single"/>
          <w:insideH w:color="d9dee5" w:space="0" w:sz="6" w:val="single"/>
          <w:insideV w:color="d9dee5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0b3a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6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DE CONTROL PARA EL CIERRE DE LA SEMANA 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 riesgos críticos sin tratar · 100 % de controles críticos con evidencia · plan de contingencia ensayado · responsables y soporte confirmados.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al cierre de la semana 8: revisar especialmente TEC-01 a TEC-04, ORG-01 a ORG-04, OPE-02, LFI-01, LFI-03 y EXT-02 sobre ecommerce, pagos, datos y coordinación. No se presume que los controles estén ejecutados. Los riesgos se mantienen identificados hasta disponer de evidencia; la próxima revisión corresponde a la Weekly del 8 de octubre de 2026.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2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8"/>
        <w:szCs w:val="18"/>
        <w:u w:val="none"/>
        <w:shd w:fill="auto" w:val="clear"/>
        <w:vertAlign w:val="baseline"/>
        <w:rtl w:val="0"/>
      </w:rPr>
      <w:t xml:space="preserve">Documento de trabajo  ·  Página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2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SFI  |  PLAN DE GESTIÓN DE RIESGOS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7202a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1769a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1769a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360"/>
      </w:tabs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360"/>
      </w:tabs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Jib1EyP4Y6S8JeuYY47bGgVRA==">CgMxLjA4AHIhMTBKUk80UjdRN2haRXNPalM2enBqRE9KRUUxWVptYm1V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SFI</dc:creator>
</cp:coreProperties>
</file>