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EDT SFI</w:t>
      </w:r>
    </w:p>
    <w:p>
      <w:pPr>
        <w:pStyle w:val="Subtitle"/>
      </w:pPr>
      <w:r>
        <w:t>SFI Sistema Ferretero Inteligente</w:t>
      </w:r>
    </w:p>
    <w:p>
      <w:r>
        <w:t>Versión 2.0 | 3 de octubre de 2026 | Equipo del proyecto SFI</w:t>
      </w:r>
    </w:p>
    <w:p>
      <w:r>
        <w:t>Estructura de Desglose del Trabajo del proyecto SFI, organizada por entregables. Su diccionario define el contenido, la responsabilidad y la aceptación de cada paquete de trabajo y lo vincula al Product Backlog. La EDT expresa todo el alcance previsto, sin declarar avance.</w:t>
      </w:r>
    </w:p>
    <w:p>
      <w:pPr>
        <w:pStyle w:val="Heading1"/>
      </w:pPr>
      <w:r>
        <w:t>Equipo y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  <w:cantSplit/>
          <w:cantSplit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A5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A5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A5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Felipe Chávez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Jefe de Proyecto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Alcance, prioridades, coordinación y aceptación documental.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Vicente Palma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Diseñador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UX/UI, navegación, prototipos y consistencia visual.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Alonso Urrutia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Desarrollador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 w:val="0"/>
                <w:color w:val="000000"/>
                <w:sz w:val="18"/>
              </w:rPr>
              <w:t>Backend, datos, IA e integraciones.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/>
            </w:pPr>
            <w:r>
              <w:rPr>
                <w:b w:val="0"/>
                <w:color w:val="000000"/>
                <w:sz w:val="18"/>
              </w:rPr>
              <w:t>Franco Miranda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/>
            </w:pPr>
            <w:r>
              <w:rPr>
                <w:b w:val="0"/>
                <w:color w:val="000000"/>
                <w:sz w:val="18"/>
              </w:rPr>
              <w:t>QA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/>
            </w:pPr>
            <w:r>
              <w:rPr>
                <w:b w:val="0"/>
                <w:color w:val="000000"/>
                <w:sz w:val="18"/>
              </w:rPr>
              <w:t>Pruebas, defectos, validación y evidencias de calidad.</w:t>
            </w:r>
          </w:p>
        </w:tc>
      </w:tr>
    </w:tbl>
    <w:p/>
    <w:p>
      <w:pPr>
        <w:pStyle w:val="Heading1"/>
      </w:pPr>
      <w:r>
        <w:t>Jerarquía de entregables</w:t>
      </w:r>
    </w:p>
    <w:p>
      <w:r>
        <w:t>1 Proyecto SFI</w:t>
      </w:r>
    </w:p>
    <w:p>
      <w:pPr>
        <w:pStyle w:val="Heading2"/>
        <w:keepNext/>
      </w:pPr>
      <w:r>
        <w:t>1 1 Gestión del proyecto</w:t>
      </w:r>
    </w:p>
    <w:p>
      <w:pPr>
        <w:pStyle w:val="ListBullet"/>
        <w:keepNext/>
      </w:pPr>
      <w:r>
        <w:t>1.1.1 Definición y alcance</w:t>
      </w:r>
    </w:p>
    <w:p>
      <w:pPr>
        <w:pStyle w:val="ListBullet"/>
      </w:pPr>
      <w:r>
        <w:t>1.1.2 Planificación y seguimiento</w:t>
      </w:r>
    </w:p>
    <w:p>
      <w:pPr>
        <w:pStyle w:val="Heading2"/>
        <w:keepNext/>
      </w:pPr>
      <w:r>
        <w:t>1 2 Base técnica y diseño</w:t>
      </w:r>
    </w:p>
    <w:p>
      <w:pPr>
        <w:pStyle w:val="ListBullet"/>
        <w:keepNext/>
      </w:pPr>
      <w:r>
        <w:t>1.2.1 Arquitectura y ambiente</w:t>
      </w:r>
    </w:p>
    <w:p>
      <w:pPr>
        <w:pStyle w:val="ListBullet"/>
      </w:pPr>
      <w:r>
        <w:t>1.2.2 Experiencia visual</w:t>
      </w:r>
    </w:p>
    <w:p>
      <w:pPr>
        <w:pStyle w:val="Heading2"/>
        <w:keepNext/>
      </w:pPr>
      <w:r>
        <w:t>1 3 Operación comercial</w:t>
      </w:r>
    </w:p>
    <w:p>
      <w:pPr>
        <w:pStyle w:val="ListBullet"/>
        <w:keepNext/>
      </w:pPr>
      <w:r>
        <w:t>1.3.1 Cuentas y permisos</w:t>
      </w:r>
    </w:p>
    <w:p>
      <w:pPr>
        <w:pStyle w:val="ListBullet"/>
        <w:keepNext/>
      </w:pPr>
      <w:r>
        <w:t>1.3.2 Catálogo comercial</w:t>
      </w:r>
    </w:p>
    <w:p>
      <w:pPr>
        <w:pStyle w:val="ListBullet"/>
        <w:keepNext/>
      </w:pPr>
      <w:r>
        <w:t>1.3.3 Bodega e inventario</w:t>
      </w:r>
    </w:p>
    <w:p>
      <w:pPr>
        <w:pStyle w:val="ListBullet"/>
        <w:keepNext/>
      </w:pPr>
      <w:r>
        <w:t>1.3.4 Abastecimiento</w:t>
      </w:r>
    </w:p>
    <w:p>
      <w:pPr>
        <w:pStyle w:val="ListBullet"/>
        <w:keepNext/>
      </w:pPr>
      <w:r>
        <w:t>1.3.5 Carrito y ventas</w:t>
      </w:r>
    </w:p>
    <w:p>
      <w:pPr>
        <w:pStyle w:val="ListBullet"/>
      </w:pPr>
      <w:r>
        <w:t>1.3.6 Pagos electrónicos</w:t>
      </w:r>
    </w:p>
    <w:p>
      <w:pPr>
        <w:pStyle w:val="Heading2"/>
        <w:keepNext/>
      </w:pPr>
      <w:r>
        <w:t>1 4 Asistencia inteligente</w:t>
      </w:r>
    </w:p>
    <w:p>
      <w:pPr>
        <w:pStyle w:val="ListBullet"/>
        <w:keepNext/>
      </w:pPr>
      <w:r>
        <w:t>1.4.1 Asistente de proyectos</w:t>
      </w:r>
    </w:p>
    <w:p>
      <w:pPr>
        <w:pStyle w:val="ListBullet"/>
      </w:pPr>
      <w:r>
        <w:t>1.4.2 Pintura inteligente</w:t>
      </w:r>
    </w:p>
    <w:p>
      <w:pPr>
        <w:pStyle w:val="Heading2"/>
        <w:keepNext/>
      </w:pPr>
      <w:r>
        <w:t>1 5 Red de maestros</w:t>
      </w:r>
    </w:p>
    <w:p>
      <w:pPr>
        <w:pStyle w:val="ListBullet"/>
        <w:keepNext/>
      </w:pPr>
      <w:r>
        <w:t>1.5.1 Directorio de maestros</w:t>
      </w:r>
    </w:p>
    <w:p>
      <w:pPr>
        <w:pStyle w:val="ListBullet"/>
        <w:keepNext/>
      </w:pPr>
      <w:r>
        <w:t>1.5.2 Promoción y contacto</w:t>
      </w:r>
    </w:p>
    <w:p>
      <w:pPr>
        <w:pStyle w:val="ListBullet"/>
      </w:pPr>
      <w:r>
        <w:t>1.5.3 Crédito comercial de maestros</w:t>
      </w:r>
    </w:p>
    <w:p>
      <w:pPr>
        <w:pStyle w:val="Heading2"/>
        <w:keepNext/>
      </w:pPr>
      <w:r>
        <w:t>1 6 Adaptación y validación empresarial</w:t>
      </w:r>
    </w:p>
    <w:p>
      <w:pPr>
        <w:pStyle w:val="ListBullet"/>
        <w:keepNext/>
      </w:pPr>
      <w:r>
        <w:t>1.6.1 Configuración y datos del cliente</w:t>
      </w:r>
    </w:p>
    <w:p>
      <w:pPr>
        <w:pStyle w:val="ListBullet"/>
        <w:keepNext/>
      </w:pPr>
      <w:r>
        <w:t>1.6.2 Verificación integral</w:t>
      </w:r>
    </w:p>
    <w:p>
      <w:pPr>
        <w:pStyle w:val="ListBullet"/>
      </w:pPr>
      <w:r>
        <w:t>1.6.3 Piloto y capacitación</w:t>
      </w:r>
    </w:p>
    <w:p>
      <w:pPr>
        <w:pStyle w:val="Heading2"/>
        <w:keepNext/>
      </w:pPr>
      <w:r>
        <w:t>1 7 Entrega del producto</w:t>
      </w:r>
    </w:p>
    <w:p>
      <w:pPr>
        <w:pStyle w:val="ListBullet"/>
        <w:keepNext/>
      </w:pPr>
      <w:r>
        <w:t>1.7.1 Despliegue y respaldo</w:t>
      </w:r>
    </w:p>
    <w:p>
      <w:pPr>
        <w:pStyle w:val="ListBullet"/>
      </w:pPr>
      <w:r>
        <w:t>1.7.2 Documentación y transferencia</w:t>
      </w:r>
    </w:p>
    <w:p>
      <w:pPr>
        <w:pStyle w:val="Heading1"/>
      </w:pPr>
      <w:r>
        <w:t>Diccionario de paquetes de trabajo</w:t>
      </w:r>
    </w:p>
    <w:p>
      <w:pPr>
        <w:pStyle w:val="Heading2"/>
        <w:keepNext/>
      </w:pPr>
      <w:r>
        <w:t>1 1 1 Definición y alcance</w:t>
      </w:r>
    </w:p>
    <w:p>
      <w:pPr>
        <w:keepNext/>
      </w:pPr>
      <w:r>
        <w:t>Responsable principal de referencia: Felipe. PBIs: TA-001, TA-002.</w:t>
      </w:r>
    </w:p>
    <w:p>
      <w:pPr>
        <w:keepNext/>
      </w:pPr>
      <w:r>
        <w:t>Contenido y entregable: Objetivo, usuarios, alcance y límites de maestros documentados.</w:t>
      </w:r>
    </w:p>
    <w:p>
      <w:r>
        <w:t>Aceptación: Documento de alcance revisado por el equipo.</w:t>
      </w:r>
    </w:p>
    <w:p>
      <w:pPr>
        <w:pStyle w:val="Heading2"/>
        <w:keepNext/>
      </w:pPr>
      <w:r>
        <w:t>1 1 2 Planificación y seguimiento</w:t>
      </w:r>
    </w:p>
    <w:p>
      <w:pPr>
        <w:keepNext/>
      </w:pPr>
      <w:r>
        <w:t>Responsable principal de referencia: Felipe. PBIs: TA-003, TA-004.</w:t>
      </w:r>
    </w:p>
    <w:p>
      <w:pPr>
        <w:keepNext/>
      </w:pPr>
      <w:r>
        <w:t>Contenido y entregable: Backlog, planificación, Gantt, riesgos, weeklys.</w:t>
      </w:r>
    </w:p>
    <w:p>
      <w:r>
        <w:t>Aceptación: IDs vinculados; calendario conciliado; acuerdos trazables.</w:t>
      </w:r>
    </w:p>
    <w:p>
      <w:pPr>
        <w:pStyle w:val="Heading2"/>
        <w:keepNext/>
      </w:pPr>
      <w:r>
        <w:t>1 2 1 Arquitectura y ambiente</w:t>
      </w:r>
    </w:p>
    <w:p>
      <w:pPr>
        <w:keepNext/>
      </w:pPr>
      <w:r>
        <w:t>Responsable principal de referencia: Alonso. PBIs: TA-005, TA-006.</w:t>
      </w:r>
    </w:p>
    <w:p>
      <w:pPr>
        <w:keepNext/>
      </w:pPr>
      <w:r>
        <w:t>Contenido y entregable: Django, MySQL, configuración, repositorio y estructura modular.</w:t>
      </w:r>
    </w:p>
    <w:p>
      <w:r>
        <w:t>Aceptación: Instalación reproducible con variables externas y migraciones.</w:t>
      </w:r>
    </w:p>
    <w:p>
      <w:pPr>
        <w:pStyle w:val="Heading2"/>
        <w:keepNext/>
      </w:pPr>
      <w:r>
        <w:t>1 2 2 Experiencia visual</w:t>
      </w:r>
    </w:p>
    <w:p>
      <w:pPr>
        <w:keepNext/>
      </w:pPr>
      <w:r>
        <w:t>Responsable principal de referencia: Vicente. PBIs: HU-001, HU-023 a HU-025.</w:t>
      </w:r>
    </w:p>
    <w:p>
      <w:pPr>
        <w:keepNext/>
      </w:pPr>
      <w:r>
        <w:t>Contenido y entregable: Navegación, identidad SFI y vistas adaptables.</w:t>
      </w:r>
    </w:p>
    <w:p>
      <w:r>
        <w:t>Aceptación: Recorridos principales legibles en escritorio y móvil.</w:t>
      </w:r>
    </w:p>
    <w:p>
      <w:pPr>
        <w:pStyle w:val="Heading2"/>
        <w:keepNext/>
      </w:pPr>
      <w:r>
        <w:t>1 3 1 Cuentas y permisos</w:t>
      </w:r>
    </w:p>
    <w:p>
      <w:pPr>
        <w:keepNext/>
      </w:pPr>
      <w:r>
        <w:t>Responsable principal de referencia: Alonso. PBIs: HU-002 a HU-005.</w:t>
      </w:r>
    </w:p>
    <w:p>
      <w:pPr>
        <w:keepNext/>
      </w:pPr>
      <w:r>
        <w:t>Contenido y entregable: Registro, autenticación, recuperación y acceso por rol.</w:t>
      </w:r>
    </w:p>
    <w:p>
      <w:r>
        <w:t>Aceptación: Pruebas de identidad, recuperación y permisos aprobadas.</w:t>
      </w:r>
    </w:p>
    <w:p>
      <w:pPr>
        <w:pStyle w:val="Heading2"/>
        <w:keepNext/>
      </w:pPr>
      <w:r>
        <w:t>1 3 2 Catálogo comercial</w:t>
      </w:r>
    </w:p>
    <w:p>
      <w:pPr>
        <w:keepNext/>
      </w:pPr>
      <w:r>
        <w:t>Responsable principal de referencia: Alonso / Vicente. PBIs: HU-006 a HU-009.</w:t>
      </w:r>
    </w:p>
    <w:p>
      <w:pPr>
        <w:keepNext/>
      </w:pPr>
      <w:r>
        <w:t>Contenido y entregable: Productos, búsqueda, categorías, fichas y ofertas.</w:t>
      </w:r>
    </w:p>
    <w:p>
      <w:r>
        <w:t>Aceptación: Publicación y precios consistentes; filtros verificables.</w:t>
      </w:r>
    </w:p>
    <w:p>
      <w:pPr>
        <w:pStyle w:val="Heading2"/>
        <w:keepNext/>
      </w:pPr>
      <w:r>
        <w:t>1 3 3 Bodega e inventario</w:t>
      </w:r>
    </w:p>
    <w:p>
      <w:pPr>
        <w:keepNext/>
      </w:pPr>
      <w:r>
        <w:t>Responsable principal de referencia: Alonso. PBIs: HU-010, HU-046.</w:t>
      </w:r>
    </w:p>
    <w:p>
      <w:pPr>
        <w:keepNext/>
      </w:pPr>
      <w:r>
        <w:t>Contenido y entregable: Existencias, movimientos y Kardex.</w:t>
      </w:r>
    </w:p>
    <w:p>
      <w:r>
        <w:t>Aceptación: Saldo conciliable; ajustes auditables; sin stock negativo.</w:t>
      </w:r>
    </w:p>
    <w:p>
      <w:pPr>
        <w:pStyle w:val="Heading2"/>
        <w:keepNext/>
      </w:pPr>
      <w:r>
        <w:t>1 3 4 Abastecimiento</w:t>
      </w:r>
    </w:p>
    <w:p>
      <w:pPr>
        <w:keepNext/>
      </w:pPr>
      <w:r>
        <w:t>Responsable principal de referencia: Alonso. PBIs: HU-011, HU-012.</w:t>
      </w:r>
    </w:p>
    <w:p>
      <w:pPr>
        <w:keepNext/>
      </w:pPr>
      <w:r>
        <w:t>Contenido y entregable: Proveedores, precios y solicitudes de reposición.</w:t>
      </w:r>
    </w:p>
    <w:p>
      <w:r>
        <w:t>Aceptación: Recepción conciliada y actualización controlada de stock.</w:t>
      </w:r>
    </w:p>
    <w:p>
      <w:pPr>
        <w:pStyle w:val="Heading2"/>
        <w:keepNext/>
      </w:pPr>
      <w:r>
        <w:t>1 3 5 Carrito y ventas</w:t>
      </w:r>
    </w:p>
    <w:p>
      <w:pPr>
        <w:keepNext/>
      </w:pPr>
      <w:r>
        <w:t>Responsable principal de referencia: Alonso / Vicente. PBIs: HU-013 a HU-019.</w:t>
      </w:r>
    </w:p>
    <w:p>
      <w:pPr>
        <w:keepNext/>
      </w:pPr>
      <w:r>
        <w:t>Contenido y entregable: Carrito, venta, historial, retiro y despacho.</w:t>
      </w:r>
    </w:p>
    <w:p>
      <w:r>
        <w:t>Aceptación: Totales correctos y estados coherentes con la compra.</w:t>
      </w:r>
    </w:p>
    <w:p>
      <w:pPr>
        <w:pStyle w:val="Heading2"/>
        <w:keepNext/>
      </w:pPr>
      <w:r>
        <w:t>1 3 6 Pagos electrónicos</w:t>
      </w:r>
    </w:p>
    <w:p>
      <w:pPr>
        <w:keepNext/>
      </w:pPr>
      <w:r>
        <w:t>Responsable principal de referencia: Alonso. PBIs: HU-020 a HU-022.</w:t>
      </w:r>
    </w:p>
    <w:p>
      <w:pPr>
        <w:keepNext/>
      </w:pPr>
      <w:r>
        <w:t>Contenido y entregable: Integración Webpay y confirmación del pago.</w:t>
      </w:r>
    </w:p>
    <w:p>
      <w:r>
        <w:t>Aceptación: Confirmación validada; reintentos sin doble venta.</w:t>
      </w:r>
    </w:p>
    <w:p>
      <w:pPr>
        <w:pStyle w:val="Heading2"/>
        <w:keepNext/>
      </w:pPr>
      <w:r>
        <w:t>1 4 1 Asistente de proyectos</w:t>
      </w:r>
    </w:p>
    <w:p>
      <w:pPr>
        <w:keepNext/>
      </w:pPr>
      <w:r>
        <w:t>Responsable principal de referencia: Alonso. PBIs: HU-026 a HU-029.</w:t>
      </w:r>
    </w:p>
    <w:p>
      <w:pPr>
        <w:keepNext/>
      </w:pPr>
      <w:r>
        <w:t>Contenido y entregable: Orientación, materiales, tiempos y productos relacionados.</w:t>
      </w:r>
    </w:p>
    <w:p>
      <w:r>
        <w:t>Aceptación: Estimaciones identificadas; productos existentes; errores tratados.</w:t>
      </w:r>
    </w:p>
    <w:p>
      <w:pPr>
        <w:pStyle w:val="Heading2"/>
        <w:keepNext/>
      </w:pPr>
      <w:r>
        <w:t>1 4 2 Pintura inteligente</w:t>
      </w:r>
    </w:p>
    <w:p>
      <w:pPr>
        <w:keepNext/>
      </w:pPr>
      <w:r>
        <w:t>Responsable principal de referencia: Alonso / Vicente. PBIs: HU-030 a HU-033.</w:t>
      </w:r>
    </w:p>
    <w:p>
      <w:pPr>
        <w:keepNext/>
      </w:pPr>
      <w:r>
        <w:t>Contenido y entregable: Cálculo, imagen, colores y vínculo al carrito.</w:t>
      </w:r>
    </w:p>
    <w:p>
      <w:r>
        <w:t>Aceptación: Cálculo reproducible y carga de archivos validada.</w:t>
      </w:r>
    </w:p>
    <w:p>
      <w:pPr>
        <w:pStyle w:val="Heading2"/>
        <w:keepNext/>
      </w:pPr>
      <w:r>
        <w:t>1 5 1 Directorio de maestros</w:t>
      </w:r>
    </w:p>
    <w:p>
      <w:pPr>
        <w:keepNext/>
      </w:pPr>
      <w:r>
        <w:t>Responsable principal de referencia: Alonso / Vicente. PBIs: HU-034 a HU-040.</w:t>
      </w:r>
    </w:p>
    <w:p>
      <w:pPr>
        <w:keepNext/>
      </w:pPr>
      <w:r>
        <w:t>Contenido y entregable: Perfil, trabajos, aprobación, APIs y privacidad.</w:t>
      </w:r>
    </w:p>
    <w:p>
      <w:r>
        <w:t>Aceptación: Solo perfiles aprobados publicados; datos privados protegidos.</w:t>
      </w:r>
    </w:p>
    <w:p>
      <w:pPr>
        <w:pStyle w:val="Heading2"/>
        <w:keepNext/>
      </w:pPr>
      <w:r>
        <w:t>1 5 2 Promoción y contacto</w:t>
      </w:r>
    </w:p>
    <w:p>
      <w:pPr>
        <w:keepNext/>
      </w:pPr>
      <w:r>
        <w:t>Responsable principal de referencia: Vicente / Alonso. PBIs: HU-041 a HU-044.</w:t>
      </w:r>
    </w:p>
    <w:p>
      <w:pPr>
        <w:keepNext/>
      </w:pPr>
      <w:r>
        <w:t>Contenido y entregable: Servicios y disponibilidad informativa; contacto externo.</w:t>
      </w:r>
    </w:p>
    <w:p>
      <w:r>
        <w:t>Aceptación: Aviso de alcance visible; no se contratan ni gestionan obras.</w:t>
      </w:r>
    </w:p>
    <w:p>
      <w:pPr>
        <w:pStyle w:val="Heading2"/>
        <w:keepNext/>
      </w:pPr>
      <w:r>
        <w:t>1 5 3 Crédito comercial de maestros</w:t>
      </w:r>
    </w:p>
    <w:p>
      <w:pPr>
        <w:keepNext/>
      </w:pPr>
      <w:r>
        <w:t>Responsable principal de referencia: Alonso. PBIs: HU-047.</w:t>
      </w:r>
    </w:p>
    <w:p>
      <w:pPr>
        <w:keepNext/>
      </w:pPr>
      <w:r>
        <w:t>Contenido y entregable: Cupos, saldo, movimientos y controles.</w:t>
      </w:r>
    </w:p>
    <w:p>
      <w:r>
        <w:t>Aceptación: Reglas comerciales aprobadas y acceso restringido.</w:t>
      </w:r>
    </w:p>
    <w:p>
      <w:pPr>
        <w:pStyle w:val="Heading2"/>
        <w:keepNext/>
      </w:pPr>
      <w:r>
        <w:t>1 6 1 Configuración y datos del cliente</w:t>
      </w:r>
    </w:p>
    <w:p>
      <w:pPr>
        <w:keepNext/>
      </w:pPr>
      <w:r>
        <w:t>Responsable principal de referencia: Alonso / Vicente. PBIs: TA-008 a TA-010.</w:t>
      </w:r>
    </w:p>
    <w:p>
      <w:pPr>
        <w:keepNext/>
      </w:pPr>
      <w:r>
        <w:t>Contenido y entregable: Identidad empresarial, carga de datos e interfaces acordadas.</w:t>
      </w:r>
    </w:p>
    <w:p>
      <w:r>
        <w:t>Aceptación: Datos conciliados y configuraciones separadas por instalación.</w:t>
      </w:r>
    </w:p>
    <w:p>
      <w:pPr>
        <w:pStyle w:val="Heading2"/>
        <w:keepNext/>
      </w:pPr>
      <w:r>
        <w:t>1 6 2 Verificación integral</w:t>
      </w:r>
    </w:p>
    <w:p>
      <w:pPr>
        <w:keepNext/>
      </w:pPr>
      <w:r>
        <w:t>Responsable principal de referencia: Franco. PBIs: TA-007, TA-011 a TA-013.</w:t>
      </w:r>
    </w:p>
    <w:p>
      <w:pPr>
        <w:keepNext/>
      </w:pPr>
      <w:r>
        <w:t>Contenido y entregable: Integración, seguridad funcional, regresión y rendimiento.</w:t>
      </w:r>
    </w:p>
    <w:p>
      <w:r>
        <w:t>Aceptación: Reporte reproducible y defectos críticos resueltos.</w:t>
      </w:r>
    </w:p>
    <w:p>
      <w:pPr>
        <w:pStyle w:val="Heading2"/>
        <w:keepNext/>
      </w:pPr>
      <w:r>
        <w:t>1 6 3 Piloto y capacitación</w:t>
      </w:r>
    </w:p>
    <w:p>
      <w:pPr>
        <w:keepNext/>
      </w:pPr>
      <w:r>
        <w:t>Responsable principal de referencia: Felipe / Franco. PBIs: HU-045, TA-014, TA-015.</w:t>
      </w:r>
    </w:p>
    <w:p>
      <w:pPr>
        <w:keepNext/>
      </w:pPr>
      <w:r>
        <w:t>Contenido y entregable: Aceptación de usuario, formación y correcciones.</w:t>
      </w:r>
    </w:p>
    <w:p>
      <w:r>
        <w:t>Aceptación: Casos de piloto ejecutados y decisión de aceptación registrada.</w:t>
      </w:r>
    </w:p>
    <w:p>
      <w:pPr>
        <w:pStyle w:val="Heading2"/>
        <w:keepNext/>
      </w:pPr>
      <w:r>
        <w:t>1 7 1 Despliegue y respaldo</w:t>
      </w:r>
    </w:p>
    <w:p>
      <w:pPr>
        <w:keepNext/>
      </w:pPr>
      <w:r>
        <w:t>Responsable principal de referencia: Alonso. PBIs: TA-016.</w:t>
      </w:r>
    </w:p>
    <w:p>
      <w:pPr>
        <w:keepNext/>
      </w:pPr>
      <w:r>
        <w:t>Contenido y entregable: Ambiente productivo, respaldo y restauración.</w:t>
      </w:r>
    </w:p>
    <w:p>
      <w:r>
        <w:t>Aceptación: Verificación posterior y restauración documentada.</w:t>
      </w:r>
    </w:p>
    <w:p>
      <w:pPr>
        <w:pStyle w:val="Heading2"/>
        <w:keepNext/>
      </w:pPr>
      <w:r>
        <w:t>1 7 2 Documentación y transferencia</w:t>
      </w:r>
    </w:p>
    <w:p>
      <w:pPr>
        <w:keepNext/>
      </w:pPr>
      <w:r>
        <w:t>Responsable principal de referencia: Felipe. PBIs: TA-017, TA-018.</w:t>
      </w:r>
    </w:p>
    <w:p>
      <w:pPr>
        <w:keepNext/>
      </w:pPr>
      <w:r>
        <w:t>Contenido y entregable: Manuales, accesos, acta y soporte inicial.</w:t>
      </w:r>
    </w:p>
    <w:p>
      <w:r>
        <w:t>Aceptación: Entrega y condiciones de soporte aceptadas.</w:t>
      </w:r>
    </w:p>
    <w:p>
      <w:pPr>
        <w:pStyle w:val="Heading1"/>
      </w:pPr>
      <w:r>
        <w:t>Reglas de cobertura y límites</w:t>
      </w:r>
    </w:p>
    <w:p>
      <w:r>
        <w:t>Los paquetes inferiores descomponen íntegramente su entregable padre. Una actividad compartida se registra una sola vez en el paquete que produce su resultado; los demás paquetes la identifican como dependencia. QA verifica los entregables funcionales y consolida las pruebas integrales en 1.6.2. La EDT no asigna fechas ni estima costos; esos atributos pertenecen a Gantt, Sprint Backlog y presupuesto.</w:t>
      </w:r>
    </w:p>
    <w:p>
      <w:r>
        <w:t>La operación de bodega forma parte del alcance. Se excluyen ejecución y supervisión contractual de obras de maestros, intermediación de pagos de sus servicios, asesoría estructural certificada, fabricación de hardware y desarrollo de un ERP completo. Las integraciones corporativas se limitan a las interfaces que acuerde cada cliente; vender el producto a varias empresas no supone incorporar automáticamente una arquitectura SaaS multiempresa.</w:t>
      </w:r>
    </w:p>
    <w:p>
      <w:r>
        <w:t>La mantención a cinco años requiere un acuerdo separado y otra línea base para la operación futura. Toda ampliación modifica el backlog, la ERS y los paquetes afectados, con evaluación del plazo y presupuesto.</w:t>
      </w:r>
    </w:p>
    <w:p>
      <w:pPr>
        <w:pStyle w:val="Heading1"/>
      </w:pPr>
      <w:r>
        <w:t>Organización del proyecto</w:t>
      </w:r>
    </w:p>
    <w:p>
      <w:r>
        <w:t>SFI se organiza en tres sprints dentro de 18 semanas. El Sprint 1 incluye preparación y ecommerce; el Sprint 2, IA, inventario, Kardex, maestros, créditos y despachos; el Sprint 3, QA final, documentación y entrega. El seguimiento se realiza mediante weeklys los jueves. Las fechas se mantienen según la Carta Gantt aprobada.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SFI  •  EDT SFI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