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Especificación de Requisitos de Software SFI</w:t>
      </w:r>
    </w:p>
    <w:p>
      <w:pPr>
        <w:pStyle w:val="Subtitle"/>
      </w:pPr>
      <w:r>
        <w:t>SFI Sistema Ferretero Inteligente</w:t>
      </w:r>
    </w:p>
    <w:p>
      <w:r>
        <w:t>Versión 2.0 | 3 de octubre de 2026 | Equipo del proyecto SFI</w:t>
      </w:r>
    </w:p>
    <w:p>
      <w:r>
        <w:t>La ERS define el comportamiento esperado de SFI, sus límites, reglas e interfaces y las condiciones para comprobarlo. Vincula requisitos funcionales con las historias del backlog recibido. Los requisitos incorporados o reformulados y los objetivos no funcionales son una propuesta documental pendiente de validación del equipo y del cliente.</w:t>
      </w:r>
    </w:p>
    <w:p>
      <w:pPr>
        <w:pStyle w:val="Heading1"/>
      </w:pPr>
      <w:r>
        <w:t>Propósito y alcance</w:t>
      </w:r>
    </w:p>
    <w:p>
      <w:r>
        <w:t>SFI integra comercio electrónico para ferreterías, gestión de bodega, orientación de proyectos mediante IA y promoción de maestros. Está previsto vender e implementar el producto para distintas empresas; Grupo Punto Obra constituye la referencia empresarial del proyecto. Cada implementación requiere acordar catálogo, configuración, integraciones y soporte. La ERS no establece resultados de rentabilidad ni convierte el presupuesto inicial en un precio por cliente.</w:t>
      </w:r>
    </w:p>
    <w:p>
      <w:pPr>
        <w:pStyle w:val="Heading1"/>
      </w:pPr>
      <w:r>
        <w:t>Equipo y responsabilidades</w:t>
      </w:r>
    </w:p>
    <w:tbl>
      <w:tblPr>
        <w:tblW w:type="auto" w:w="0"/>
        <w:tblLayout w:type="fixed"/>
        <w:tblLook w:firstColumn="1" w:firstRow="1" w:lastColumn="0" w:lastRow="0" w:noHBand="0" w:noVBand="1" w:val="04A0"/>
      </w:tblPr>
      <w:tblGrid>
        <w:gridCol w:w="3312"/>
        <w:gridCol w:w="3312"/>
        <w:gridCol w:w="3312"/>
      </w:tblGrid>
      <w:tr>
        <w:trPr>
          <w:tblHeader/>
          <w:cantSplit/>
          <w:cantSplit/>
          <w:cantSplit/>
          <w:cantSplit/>
          <w:cantSplit/>
        </w:trPr>
        <w:tc>
          <w:tcPr>
            <w:tcW w:type="dxa" w:w="1944"/>
            <w:vAlign w:val="center"/>
            <w:tcBorders>
              <w:top w:val="single" w:sz="4" w:color="D9D9D9"/>
              <w:left w:val="single" w:sz="4" w:color="D9D9D9"/>
              <w:bottom w:val="single" w:sz="4" w:color="D9D9D9"/>
              <w:right w:val="single" w:sz="4" w:color="D9D9D9"/>
            </w:tcBorders>
            <w:shd w:fill="163A5F"/>
            <w:tcMar>
              <w:top w:w="90" w:type="dxa"/>
              <w:left w:w="90" w:type="dxa"/>
              <w:bottom w:w="90" w:type="dxa"/>
              <w:right w:w="90" w:type="dxa"/>
            </w:tcMar>
          </w:tcPr>
          <w:p>
            <w:pPr>
              <w:keepNext/>
              <w:spacing w:after="60"/>
            </w:pPr>
            <w:r>
              <w:rPr>
                <w:b/>
                <w:color w:val="FFFFFF"/>
                <w:sz w:val="18"/>
              </w:rPr>
              <w:t>Integrante</w:t>
            </w:r>
          </w:p>
        </w:tc>
        <w:tc>
          <w:tcPr>
            <w:tcW w:type="dxa" w:w="1728"/>
            <w:vAlign w:val="center"/>
            <w:tcBorders>
              <w:top w:val="single" w:sz="4" w:color="D9D9D9"/>
              <w:left w:val="single" w:sz="4" w:color="D9D9D9"/>
              <w:bottom w:val="single" w:sz="4" w:color="D9D9D9"/>
              <w:right w:val="single" w:sz="4" w:color="D9D9D9"/>
            </w:tcBorders>
            <w:shd w:fill="163A5F"/>
            <w:tcMar>
              <w:top w:w="90" w:type="dxa"/>
              <w:left w:w="90" w:type="dxa"/>
              <w:bottom w:w="90" w:type="dxa"/>
              <w:right w:w="90" w:type="dxa"/>
            </w:tcMar>
          </w:tcPr>
          <w:p>
            <w:pPr>
              <w:keepNext/>
              <w:spacing w:after="60"/>
            </w:pPr>
            <w:r>
              <w:rPr>
                <w:b/>
                <w:color w:val="FFFFFF"/>
                <w:sz w:val="18"/>
              </w:rPr>
              <w:t>Cargo</w:t>
            </w:r>
          </w:p>
        </w:tc>
        <w:tc>
          <w:tcPr>
            <w:tcW w:type="dxa" w:w="6264"/>
            <w:vAlign w:val="center"/>
            <w:tcBorders>
              <w:top w:val="single" w:sz="4" w:color="D9D9D9"/>
              <w:left w:val="single" w:sz="4" w:color="D9D9D9"/>
              <w:bottom w:val="single" w:sz="4" w:color="D9D9D9"/>
              <w:right w:val="single" w:sz="4" w:color="D9D9D9"/>
            </w:tcBorders>
            <w:shd w:fill="163A5F"/>
            <w:tcMar>
              <w:top w:w="90" w:type="dxa"/>
              <w:left w:w="90" w:type="dxa"/>
              <w:bottom w:w="90" w:type="dxa"/>
              <w:right w:w="90" w:type="dxa"/>
            </w:tcMar>
          </w:tcPr>
          <w:p>
            <w:pPr>
              <w:keepNext/>
              <w:spacing w:after="60"/>
            </w:pPr>
            <w:r>
              <w:rPr>
                <w:b/>
                <w:color w:val="FFFFFF"/>
                <w:sz w:val="18"/>
              </w:rPr>
              <w:t>Responsabilidad</w:t>
            </w:r>
          </w:p>
        </w:tc>
      </w:tr>
      <w:tr>
        <w:trPr>
          <w:cantSplit/>
          <w:cantSplit/>
          <w:cantSplit/>
          <w:cantSplit/>
          <w:cantSplit/>
        </w:trPr>
        <w:tc>
          <w:tcPr>
            <w:tcW w:type="dxa" w:w="1944"/>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Felipe Chávez</w:t>
            </w:r>
          </w:p>
        </w:tc>
        <w:tc>
          <w:tcPr>
            <w:tcW w:type="dxa" w:w="1728"/>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Jefe de Proyecto</w:t>
            </w:r>
          </w:p>
        </w:tc>
        <w:tc>
          <w:tcPr>
            <w:tcW w:type="dxa" w:w="6264"/>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Alcance, prioridades, coordinación y aceptación documental.</w:t>
            </w:r>
          </w:p>
        </w:tc>
      </w:tr>
      <w:tr>
        <w:trPr>
          <w:cantSplit/>
          <w:cantSplit/>
          <w:cantSplit/>
          <w:cantSplit/>
          <w:cantSplit/>
        </w:trPr>
        <w:tc>
          <w:tcPr>
            <w:tcW w:type="dxa" w:w="19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Vicente Palma</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Diseñador</w:t>
            </w:r>
          </w:p>
        </w:tc>
        <w:tc>
          <w:tcPr>
            <w:tcW w:type="dxa" w:w="62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UX/UI, navegación, prototipos y consistencia visual.</w:t>
            </w:r>
          </w:p>
        </w:tc>
      </w:tr>
      <w:tr>
        <w:trPr>
          <w:cantSplit/>
          <w:cantSplit/>
          <w:cantSplit/>
          <w:cantSplit/>
          <w:cantSplit/>
        </w:trPr>
        <w:tc>
          <w:tcPr>
            <w:tcW w:type="dxa" w:w="1944"/>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Alonso Urrutia</w:t>
            </w:r>
          </w:p>
        </w:tc>
        <w:tc>
          <w:tcPr>
            <w:tcW w:type="dxa" w:w="1728"/>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Desarrollador</w:t>
            </w:r>
          </w:p>
        </w:tc>
        <w:tc>
          <w:tcPr>
            <w:tcW w:type="dxa" w:w="6264"/>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Backend, datos, IA e integraciones.</w:t>
            </w:r>
          </w:p>
        </w:tc>
      </w:tr>
      <w:tr>
        <w:trPr>
          <w:cantSplit/>
          <w:cantSplit/>
          <w:cantSplit/>
          <w:cantSplit/>
          <w:cantSplit/>
        </w:trPr>
        <w:tc>
          <w:tcPr>
            <w:tcW w:type="dxa" w:w="19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pPr>
            <w:r>
              <w:rPr>
                <w:b w:val="0"/>
                <w:color w:val="000000"/>
                <w:sz w:val="18"/>
              </w:rPr>
              <w:t>Franco Miranda</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pPr>
            <w:r>
              <w:rPr>
                <w:b w:val="0"/>
                <w:color w:val="000000"/>
                <w:sz w:val="18"/>
              </w:rPr>
              <w:t>QA</w:t>
            </w:r>
          </w:p>
        </w:tc>
        <w:tc>
          <w:tcPr>
            <w:tcW w:type="dxa" w:w="62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pPr>
            <w:r>
              <w:rPr>
                <w:b w:val="0"/>
                <w:color w:val="000000"/>
                <w:sz w:val="18"/>
              </w:rPr>
              <w:t>Pruebas, defectos, validación y evidencias de calidad.</w:t>
            </w:r>
          </w:p>
        </w:tc>
      </w:tr>
    </w:tbl>
    <w:p/>
    <w:p>
      <w:pPr>
        <w:pStyle w:val="Heading1"/>
      </w:pPr>
      <w:r>
        <w:t>Usuarios y entorno</w:t>
      </w:r>
    </w:p>
    <w:tbl>
      <w:tblPr>
        <w:tblW w:type="auto" w:w="0"/>
        <w:tblLayout w:type="fixed"/>
        <w:tblLook w:firstColumn="1" w:firstRow="1" w:lastColumn="0" w:lastRow="0" w:noHBand="0" w:noVBand="1" w:val="04A0"/>
      </w:tblPr>
      <w:tblGrid>
        <w:gridCol w:w="4968"/>
        <w:gridCol w:w="4968"/>
      </w:tblGrid>
      <w:tr>
        <w:trPr>
          <w:tblHeader/>
          <w:cantSplit/>
          <w:cantSplit/>
          <w:cantSplit/>
          <w:cantSplit/>
          <w:cantSplit/>
        </w:trPr>
        <w:tc>
          <w:tcPr>
            <w:tcW w:type="dxa" w:w="2304"/>
            <w:vAlign w:val="center"/>
            <w:tcBorders>
              <w:top w:val="single" w:sz="4" w:color="D9D9D9"/>
              <w:left w:val="single" w:sz="4" w:color="D9D9D9"/>
              <w:bottom w:val="single" w:sz="4" w:color="D9D9D9"/>
              <w:right w:val="single" w:sz="4" w:color="D9D9D9"/>
            </w:tcBorders>
            <w:shd w:fill="163A5F"/>
            <w:tcMar>
              <w:top w:w="90" w:type="dxa"/>
              <w:left w:w="90" w:type="dxa"/>
              <w:bottom w:w="90" w:type="dxa"/>
              <w:right w:w="90" w:type="dxa"/>
            </w:tcMar>
          </w:tcPr>
          <w:p>
            <w:pPr>
              <w:keepNext/>
              <w:spacing w:after="60"/>
            </w:pPr>
            <w:r>
              <w:rPr>
                <w:b/>
                <w:color w:val="FFFFFF"/>
                <w:sz w:val="18"/>
              </w:rPr>
              <w:t>Actor</w:t>
            </w:r>
          </w:p>
        </w:tc>
        <w:tc>
          <w:tcPr>
            <w:tcW w:type="dxa" w:w="7632"/>
            <w:vAlign w:val="center"/>
            <w:tcBorders>
              <w:top w:val="single" w:sz="4" w:color="D9D9D9"/>
              <w:left w:val="single" w:sz="4" w:color="D9D9D9"/>
              <w:bottom w:val="single" w:sz="4" w:color="D9D9D9"/>
              <w:right w:val="single" w:sz="4" w:color="D9D9D9"/>
            </w:tcBorders>
            <w:shd w:fill="163A5F"/>
            <w:tcMar>
              <w:top w:w="90" w:type="dxa"/>
              <w:left w:w="90" w:type="dxa"/>
              <w:bottom w:w="90" w:type="dxa"/>
              <w:right w:w="90" w:type="dxa"/>
            </w:tcMar>
          </w:tcPr>
          <w:p>
            <w:pPr>
              <w:keepNext/>
              <w:spacing w:after="60"/>
            </w:pPr>
            <w:r>
              <w:rPr>
                <w:b/>
                <w:color w:val="FFFFFF"/>
                <w:sz w:val="18"/>
              </w:rPr>
              <w:t>Funciones previstas</w:t>
            </w:r>
          </w:p>
        </w:tc>
      </w:tr>
      <w:tr>
        <w:trPr>
          <w:cantSplit/>
          <w:cantSplit/>
          <w:cantSplit/>
          <w:cantSplit/>
          <w:cantSplit/>
        </w:trPr>
        <w:tc>
          <w:tcPr>
            <w:tcW w:type="dxa" w:w="2304"/>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Visitante</w:t>
            </w:r>
          </w:p>
        </w:tc>
        <w:tc>
          <w:tcPr>
            <w:tcW w:type="dxa" w:w="7632"/>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Explorar catálogo, orientación permitida y perfiles públicos aprobados.</w:t>
            </w:r>
          </w:p>
        </w:tc>
      </w:tr>
      <w:tr>
        <w:trPr>
          <w:cantSplit/>
          <w:cantSplit/>
          <w:cantSplit/>
          <w:cantSplit/>
          <w:cantSplit/>
        </w:trPr>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Cliente</w:t>
            </w:r>
          </w:p>
        </w:tc>
        <w:tc>
          <w:tcPr>
            <w:tcW w:type="dxa" w:w="76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Gestionar su cuenta, carrito, compras y medios de contacto de maestros.</w:t>
            </w:r>
          </w:p>
        </w:tc>
      </w:tr>
      <w:tr>
        <w:trPr>
          <w:cantSplit/>
          <w:cantSplit/>
          <w:cantSplit/>
          <w:cantSplit/>
          <w:cantSplit/>
        </w:trPr>
        <w:tc>
          <w:tcPr>
            <w:tcW w:type="dxa" w:w="2304"/>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Maestro</w:t>
            </w:r>
          </w:p>
        </w:tc>
        <w:tc>
          <w:tcPr>
            <w:tcW w:type="dxa" w:w="7632"/>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Administrar su perfil, trabajos, servicios y consultar su crédito autorizado.</w:t>
            </w:r>
          </w:p>
        </w:tc>
      </w:tr>
      <w:tr>
        <w:trPr>
          <w:cantSplit/>
          <w:cantSplit/>
          <w:cantSplit/>
          <w:cantSplit/>
          <w:cantSplit/>
        </w:trPr>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Administrador</w:t>
            </w:r>
          </w:p>
        </w:tc>
        <w:tc>
          <w:tcPr>
            <w:tcW w:type="dxa" w:w="76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Gestionar catálogo, cuentas, perfiles, abastecimiento y reglas comerciales.</w:t>
            </w:r>
          </w:p>
        </w:tc>
      </w:tr>
      <w:tr>
        <w:trPr>
          <w:cantSplit/>
          <w:cantSplit/>
          <w:cantSplit/>
          <w:cantSplit/>
          <w:cantSplit/>
        </w:trPr>
        <w:tc>
          <w:tcPr>
            <w:tcW w:type="dxa" w:w="2304"/>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val="0"/>
              <w:spacing w:after="60"/>
            </w:pPr>
            <w:r>
              <w:rPr>
                <w:b w:val="0"/>
                <w:color w:val="000000"/>
                <w:sz w:val="18"/>
              </w:rPr>
              <w:t>Encargado de bodega</w:t>
            </w:r>
          </w:p>
        </w:tc>
        <w:tc>
          <w:tcPr>
            <w:tcW w:type="dxa" w:w="7632"/>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val="0"/>
              <w:spacing w:after="60"/>
            </w:pPr>
            <w:r>
              <w:rPr>
                <w:b w:val="0"/>
                <w:color w:val="000000"/>
                <w:sz w:val="18"/>
              </w:rPr>
              <w:t>Registrar y consultar movimientos, existencias y recepciones con permisos asignados.</w:t>
            </w:r>
          </w:p>
        </w:tc>
      </w:tr>
    </w:tbl>
    <w:p/>
    <w:p>
      <w:r>
        <w:t>Entorno de referencia: aplicación web con Django y base de datos MySQL mediante PyMySQL; integración de pago con Transbank Webpay Plus. La configuración sensible se suministra mediante variables de ambiente. El proveedor de IA, almacenamiento de imágenes, correo y hosting definitivo requieren confirmar la configuración de cada implementación.</w:t>
      </w:r>
    </w:p>
    <w:p>
      <w:pPr>
        <w:pStyle w:val="Heading1"/>
      </w:pPr>
      <w:r>
        <w:t>Límites y exclusiones</w:t>
      </w:r>
    </w:p>
    <w:p>
      <w:r>
        <w:t>La negociación, cotización contractual y ejecución de obras de maestros se realizan fuera de SFI. El directorio publica perfiles y facilita contacto, con avisos visibles del alcance. El crédito comercial se usa para materiales bajo las reglas de la empresa; no constituye un producto bancario desarrollado por el equipo. La IA entrega estimaciones orientativas y no sustituye evaluación técnica presencial ni certificación de seguridad.</w:t>
      </w:r>
    </w:p>
    <w:p>
      <w:pPr>
        <w:pStyle w:val="Heading1"/>
      </w:pPr>
      <w:r>
        <w:t>Requisitos funcionales</w:t>
      </w:r>
    </w:p>
    <w:p>
      <w:pPr>
        <w:pStyle w:val="Heading2"/>
        <w:keepNext/>
      </w:pPr>
      <w:r>
        <w:t>RF-001 Experiencia transversal</w:t>
      </w:r>
    </w:p>
    <w:p>
      <w:pPr>
        <w:keepNext/>
      </w:pPr>
      <w:r>
        <w:t>El sistema deberá permitir una navegación base clara y adaptable.</w:t>
      </w:r>
    </w:p>
    <w:p>
      <w:r>
        <w:t>Trazabilidad: HU-001. Prioridad: Alta. Verificación: Página inicial disponible; navegación funcional; componentes base reutilizables; diseño responsive.</w:t>
      </w:r>
    </w:p>
    <w:p>
      <w:pPr>
        <w:pStyle w:val="Heading2"/>
        <w:keepNext/>
      </w:pPr>
      <w:r>
        <w:t>RF-002 Usuarios</w:t>
      </w:r>
    </w:p>
    <w:p>
      <w:pPr>
        <w:keepNext/>
      </w:pPr>
      <w:r>
        <w:t>El sistema deberá permitir registrarme e iniciar sesión.</w:t>
      </w:r>
    </w:p>
    <w:p>
      <w:r>
        <w:t>Trazabilidad: HU-002. Prioridad: Crítica. Verificación: Registro válido; correo único; inicio y cierre de sesión; mensajes ante datos incorrectos.</w:t>
      </w:r>
    </w:p>
    <w:p>
      <w:pPr>
        <w:pStyle w:val="Heading2"/>
        <w:keepNext/>
      </w:pPr>
      <w:r>
        <w:t>RF-003 Usuarios</w:t>
      </w:r>
    </w:p>
    <w:p>
      <w:pPr>
        <w:keepNext/>
      </w:pPr>
      <w:r>
        <w:t>El sistema deberá permitir recuperar su contraseña.</w:t>
      </w:r>
    </w:p>
    <w:p>
      <w:r>
        <w:t>Trazabilidad: HU-003. Prioridad: Alta. Verificación: Solicitud por correo; enlace temporal; cambio de contraseña; confirmación al usuario.</w:t>
      </w:r>
    </w:p>
    <w:p>
      <w:pPr>
        <w:pStyle w:val="Heading2"/>
        <w:keepNext/>
      </w:pPr>
      <w:r>
        <w:t>RF-004 Usuarios</w:t>
      </w:r>
    </w:p>
    <w:p>
      <w:pPr>
        <w:keepNext/>
      </w:pPr>
      <w:r>
        <w:t>El sistema deberá permitir asignar roles y permisos.</w:t>
      </w:r>
    </w:p>
    <w:p>
      <w:r>
        <w:t>Trazabilidad: HU-004. Prioridad: Crítica. Verificación: Roles diferenciados; accesos protegidos; usuarios no autorizados bloqueados; pruebas de permisos aprobadas.</w:t>
      </w:r>
    </w:p>
    <w:p>
      <w:pPr>
        <w:pStyle w:val="Heading2"/>
        <w:keepNext/>
      </w:pPr>
      <w:r>
        <w:t>RF-005 Usuarios</w:t>
      </w:r>
    </w:p>
    <w:p>
      <w:pPr>
        <w:keepNext/>
      </w:pPr>
      <w:r>
        <w:t>El sistema deberá permitir consultar y actualizar los datos de su cuenta.</w:t>
      </w:r>
    </w:p>
    <w:p>
      <w:r>
        <w:t>Trazabilidad: HU-005. Prioridad: Media. Verificación: Datos visibles; campos editables validados; cambios persistentes; mensajes de confirmación.</w:t>
      </w:r>
    </w:p>
    <w:p>
      <w:pPr>
        <w:pStyle w:val="Heading2"/>
        <w:keepNext/>
      </w:pPr>
      <w:r>
        <w:t>RF-006 Catálogo</w:t>
      </w:r>
    </w:p>
    <w:p>
      <w:pPr>
        <w:keepNext/>
      </w:pPr>
      <w:r>
        <w:t>El sistema deberá permitir buscar y filtrar productos.</w:t>
      </w:r>
    </w:p>
    <w:p>
      <w:r>
        <w:t>Trazabilidad: HU-006. Prioridad: Crítica. Verificación: Listado paginado; búsqueda por texto; filtros por categoría; solo productos publicados visibles.</w:t>
      </w:r>
    </w:p>
    <w:p>
      <w:pPr>
        <w:pStyle w:val="Heading2"/>
        <w:keepNext/>
      </w:pPr>
      <w:r>
        <w:t>RF-007 Catálogo</w:t>
      </w:r>
    </w:p>
    <w:p>
      <w:pPr>
        <w:keepNext/>
      </w:pPr>
      <w:r>
        <w:t>El sistema deberá permitir revisar la ficha de un producto.</w:t>
      </w:r>
    </w:p>
    <w:p>
      <w:r>
        <w:t>Trazabilidad: HU-007. Prioridad: Crítica. Verificación: Ficha completa; imágenes visibles; precio y oferta correctos; disponibilidad informada.</w:t>
      </w:r>
    </w:p>
    <w:p>
      <w:pPr>
        <w:pStyle w:val="Heading2"/>
        <w:keepNext/>
      </w:pPr>
      <w:r>
        <w:t>RF-008 Catálogo</w:t>
      </w:r>
    </w:p>
    <w:p>
      <w:pPr>
        <w:keepNext/>
      </w:pPr>
      <w:r>
        <w:t>El sistema deberá permitir crear y editar productos.</w:t>
      </w:r>
    </w:p>
    <w:p>
      <w:r>
        <w:t>Trazabilidad: HU-008. Prioridad: Crítica. Verificación: Alta y edición disponibles; imágenes cargables; datos obligatorios validados; publicación controlada.</w:t>
      </w:r>
    </w:p>
    <w:p>
      <w:pPr>
        <w:pStyle w:val="Heading2"/>
        <w:keepNext/>
      </w:pPr>
      <w:r>
        <w:t>RF-009 Catálogo</w:t>
      </w:r>
    </w:p>
    <w:p>
      <w:pPr>
        <w:keepNext/>
      </w:pPr>
      <w:r>
        <w:t>El sistema deberá permitir gestionar categorías y ofertas.</w:t>
      </w:r>
    </w:p>
    <w:p>
      <w:r>
        <w:t>Trazabilidad: HU-009. Prioridad: Alta. Verificación: Categorías administrables; ofertas con vigencia; precios coherentes; cambios visibles en catálogo.</w:t>
      </w:r>
    </w:p>
    <w:p>
      <w:pPr>
        <w:pStyle w:val="Heading2"/>
        <w:keepNext/>
      </w:pPr>
      <w:r>
        <w:t>RF-010 Inventario</w:t>
      </w:r>
    </w:p>
    <w:p>
      <w:pPr>
        <w:keepNext/>
      </w:pPr>
      <w:r>
        <w:t>El sistema deberá permitir controlar las existencias.</w:t>
      </w:r>
    </w:p>
    <w:p>
      <w:r>
        <w:t>Trazabilidad: HU-010. Prioridad: Crítica. Verificación: Stock consultable y editable; movimientos registrados; valores negativos bloqueados; alertas por stock bajo.</w:t>
      </w:r>
    </w:p>
    <w:p>
      <w:pPr>
        <w:pStyle w:val="Heading2"/>
        <w:keepNext/>
      </w:pPr>
      <w:r>
        <w:t>RF-011 Abastecimiento</w:t>
      </w:r>
    </w:p>
    <w:p>
      <w:pPr>
        <w:keepNext/>
      </w:pPr>
      <w:r>
        <w:t>El sistema deberá permitir registrar proveedores e historial de precios.</w:t>
      </w:r>
    </w:p>
    <w:p>
      <w:r>
        <w:t>Trazabilidad: HU-011. Prioridad: Alta. Verificación: Proveedores administrables; productos asociados; historial de precios; datos de contacto validados.</w:t>
      </w:r>
    </w:p>
    <w:p>
      <w:pPr>
        <w:pStyle w:val="Heading2"/>
        <w:keepNext/>
      </w:pPr>
      <w:r>
        <w:t>RF-012 Abastecimiento</w:t>
      </w:r>
    </w:p>
    <w:p>
      <w:pPr>
        <w:keepNext/>
      </w:pPr>
      <w:r>
        <w:t>El sistema deberá permitir generar solicitudes de reposición.</w:t>
      </w:r>
    </w:p>
    <w:p>
      <w:r>
        <w:t>Trazabilidad: HU-012. Prioridad: Alta. Verificación: Productos bajo mínimo identificados; solicitud creada; estado controlado; recepción actualiza existencias.</w:t>
      </w:r>
    </w:p>
    <w:p>
      <w:pPr>
        <w:pStyle w:val="Heading2"/>
        <w:keepNext/>
      </w:pPr>
      <w:r>
        <w:t>RF-013 Carrito</w:t>
      </w:r>
    </w:p>
    <w:p>
      <w:pPr>
        <w:keepNext/>
      </w:pPr>
      <w:r>
        <w:t>El sistema deberá permitir agregar y eliminar productos del carrito.</w:t>
      </w:r>
    </w:p>
    <w:p>
      <w:r>
        <w:t>Trazabilidad: HU-013. Prioridad: Crítica. Verificación: Agregar desde catálogo y ficha; eliminar producto; carrito asociado a sesión; contenido persistente.</w:t>
      </w:r>
    </w:p>
    <w:p>
      <w:pPr>
        <w:pStyle w:val="Heading2"/>
        <w:keepNext/>
      </w:pPr>
      <w:r>
        <w:t>RF-014 Carrito</w:t>
      </w:r>
    </w:p>
    <w:p>
      <w:pPr>
        <w:keepNext/>
      </w:pPr>
      <w:r>
        <w:t>El sistema deberá permitir modificar cantidades y revisar totales.</w:t>
      </w:r>
    </w:p>
    <w:p>
      <w:r>
        <w:t>Trazabilidad: HU-014. Prioridad: Crítica. Verificación: Cantidades actualizables; subtotales y total correctos; límites validados; interfaz clara.</w:t>
      </w:r>
    </w:p>
    <w:p>
      <w:pPr>
        <w:pStyle w:val="Heading2"/>
        <w:keepNext/>
      </w:pPr>
      <w:r>
        <w:t>RF-015 Carrito</w:t>
      </w:r>
    </w:p>
    <w:p>
      <w:pPr>
        <w:keepNext/>
      </w:pPr>
      <w:r>
        <w:t>El sistema deberá permitir que el carrito valide el stock disponible.</w:t>
      </w:r>
    </w:p>
    <w:p>
      <w:r>
        <w:t>Trazabilidad: HU-015. Prioridad: Crítica. Verificación: Validación al agregar y actualizar; mensaje de falta de stock; carrito corregible; stock no reservado erróneamente.</w:t>
      </w:r>
    </w:p>
    <w:p>
      <w:pPr>
        <w:pStyle w:val="Heading2"/>
        <w:keepNext/>
      </w:pPr>
      <w:r>
        <w:t>RF-016 Ventas</w:t>
      </w:r>
    </w:p>
    <w:p>
      <w:pPr>
        <w:keepNext/>
      </w:pPr>
      <w:r>
        <w:t>El sistema deberá permitir confirmar el carrito y generar una venta.</w:t>
      </w:r>
    </w:p>
    <w:p>
      <w:r>
        <w:t>Trazabilidad: HU-016. Prioridad: Crítica. Verificación: Venta y detalle creados; precios conservados; carrito validado; estado inicial asignado.</w:t>
      </w:r>
    </w:p>
    <w:p>
      <w:pPr>
        <w:pStyle w:val="Heading2"/>
        <w:keepNext/>
      </w:pPr>
      <w:r>
        <w:t>RF-017 Entrega</w:t>
      </w:r>
    </w:p>
    <w:p>
      <w:pPr>
        <w:keepNext/>
      </w:pPr>
      <w:r>
        <w:t>El sistema deberá permitir elegir retiro o despacho.</w:t>
      </w:r>
    </w:p>
    <w:p>
      <w:r>
        <w:t>Trazabilidad: HU-017. Prioridad: Alta. Verificación: Modalidades disponibles; dirección validada para despacho; sucursal definida para retiro; elección guardada.</w:t>
      </w:r>
    </w:p>
    <w:p>
      <w:pPr>
        <w:pStyle w:val="Heading2"/>
        <w:keepNext/>
      </w:pPr>
      <w:r>
        <w:t>RF-018 Ventas</w:t>
      </w:r>
    </w:p>
    <w:p>
      <w:pPr>
        <w:keepNext/>
      </w:pPr>
      <w:r>
        <w:t>El sistema deberá permitir consultar su boleta e historial.</w:t>
      </w:r>
    </w:p>
    <w:p>
      <w:pPr>
        <w:keepNext/>
      </w:pPr>
      <w:r>
        <w:t>Trazabilidad: HU-018. Prioridad: Alta. Verificación: Boleta con detalle y totales; historial por usuario; acceso privado; información consistente.</w:t>
      </w:r>
    </w:p>
    <w:p>
      <w:r>
        <w:t>La referencia a boleta no implica emisión tributaria electrónica certificada. Debe confirmarse si el entregable es un comprobante interno o una integración tributaria contratada.</w:t>
      </w:r>
    </w:p>
    <w:p>
      <w:pPr>
        <w:pStyle w:val="Heading2"/>
        <w:keepNext/>
      </w:pPr>
      <w:r>
        <w:t>RF-019 Ventas</w:t>
      </w:r>
    </w:p>
    <w:p>
      <w:pPr>
        <w:keepNext/>
      </w:pPr>
      <w:r>
        <w:t>El sistema deberá permitir actualizar estados de ventas, retiros y despachos.</w:t>
      </w:r>
    </w:p>
    <w:p>
      <w:r>
        <w:t>Trazabilidad: HU-019. Prioridad: Alta. Verificación: Estados permitidos; transiciones controladas; panel administrativo; estado visible al cliente.</w:t>
      </w:r>
    </w:p>
    <w:p>
      <w:pPr>
        <w:pStyle w:val="Heading2"/>
        <w:keepNext/>
      </w:pPr>
      <w:r>
        <w:t>RF-020 Pagos</w:t>
      </w:r>
    </w:p>
    <w:p>
      <w:pPr>
        <w:keepNext/>
      </w:pPr>
      <w:r>
        <w:t>El sistema deberá permitir iniciar un pago con Webpay Plus.</w:t>
      </w:r>
    </w:p>
    <w:p>
      <w:r>
        <w:t>Trazabilidad: HU-020. Prioridad: Crítica. Verificación: Transacción creada con monto correcto; redirección válida; venta vinculada; errores controlados.</w:t>
      </w:r>
    </w:p>
    <w:p>
      <w:pPr>
        <w:pStyle w:val="Heading2"/>
        <w:keepNext/>
      </w:pPr>
      <w:r>
        <w:t>RF-021 Pagos</w:t>
      </w:r>
    </w:p>
    <w:p>
      <w:pPr>
        <w:keepNext/>
      </w:pPr>
      <w:r>
        <w:t>El sistema deberá permitir conocer el resultado del pago.</w:t>
      </w:r>
    </w:p>
    <w:p>
      <w:r>
        <w:t>Trazabilidad: HU-021. Prioridad: Crítica. Verificación: Retorno validado; estados actualizados; pantallas claras; reintentos y duplicidad controlados.</w:t>
      </w:r>
    </w:p>
    <w:p>
      <w:pPr>
        <w:pStyle w:val="Heading2"/>
        <w:keepNext/>
      </w:pPr>
      <w:r>
        <w:t>RF-022 Pagos</w:t>
      </w:r>
    </w:p>
    <w:p>
      <w:pPr>
        <w:keepNext/>
      </w:pPr>
      <w:r>
        <w:t>El sistema deberá permitir validar las respuestas de Webpay.</w:t>
      </w:r>
    </w:p>
    <w:p>
      <w:r>
        <w:t>Trazabilidad: HU-022. Prioridad: Crítica. Verificación: Tokens y montos verificados; datos sensibles no almacenados; respuestas inválidas rechazadas; pruebas aprobadas.</w:t>
      </w:r>
    </w:p>
    <w:p>
      <w:pPr>
        <w:pStyle w:val="Heading2"/>
        <w:keepNext/>
      </w:pPr>
      <w:r>
        <w:t>RF-023 Experiencia transversal</w:t>
      </w:r>
    </w:p>
    <w:p>
      <w:pPr>
        <w:keepNext/>
      </w:pPr>
      <w:r>
        <w:t>El sistema deberá permitir una identidad visual SFI consistente.</w:t>
      </w:r>
    </w:p>
    <w:p>
      <w:r>
        <w:t>Trazabilidad: HU-023. Prioridad: Alta. Verificación: Colores y componentes unificados; encabezado y pie comunes; mensajes consistentes; pantallas principales actualizadas.</w:t>
      </w:r>
    </w:p>
    <w:p>
      <w:pPr>
        <w:pStyle w:val="Heading2"/>
        <w:keepNext/>
      </w:pPr>
      <w:r>
        <w:t>RF-024 Experiencia transversal</w:t>
      </w:r>
    </w:p>
    <w:p>
      <w:pPr>
        <w:keepNext/>
      </w:pPr>
      <w:r>
        <w:t>El sistema deberá permitir que las funciones principales sean adaptables.</w:t>
      </w:r>
    </w:p>
    <w:p>
      <w:r>
        <w:t>Trazabilidad: HU-024. Prioridad: Alta. Verificación: Catálogo, carrito, cuenta y ventas responsive; navegación utilizable; sin elementos superpuestos.</w:t>
      </w:r>
    </w:p>
    <w:p>
      <w:pPr>
        <w:pStyle w:val="Heading2"/>
        <w:keepNext/>
      </w:pPr>
      <w:r>
        <w:t>RF-025 Administración</w:t>
      </w:r>
    </w:p>
    <w:p>
      <w:pPr>
        <w:keepNext/>
      </w:pPr>
      <w:r>
        <w:t>El sistema deberá permitir formularios y paneles claros.</w:t>
      </w:r>
    </w:p>
    <w:p>
      <w:r>
        <w:t>Trazabilidad: HU-025. Prioridad: Media. Verificación: Formularios ordenados; validaciones visibles; navegación administrativa consistente; recorridos probados.</w:t>
      </w:r>
    </w:p>
    <w:p>
      <w:pPr>
        <w:pStyle w:val="Heading2"/>
        <w:keepNext/>
      </w:pPr>
      <w:r>
        <w:t>RF-026 Asistente IA</w:t>
      </w:r>
    </w:p>
    <w:p>
      <w:pPr>
        <w:keepNext/>
      </w:pPr>
      <w:r>
        <w:t>El sistema deberá permitir describir un proyecto doméstico.</w:t>
      </w:r>
    </w:p>
    <w:p>
      <w:r>
        <w:t>Trazabilidad: HU-026. Prioridad: Crítica. Verificación: Chat disponible; consulta enviada; respuesta comprensible; límites y advertencias informados.</w:t>
      </w:r>
    </w:p>
    <w:p>
      <w:pPr>
        <w:pStyle w:val="Heading2"/>
        <w:keepNext/>
      </w:pPr>
      <w:r>
        <w:t>RF-027 Asistente IA</w:t>
      </w:r>
    </w:p>
    <w:p>
      <w:pPr>
        <w:keepNext/>
      </w:pPr>
      <w:r>
        <w:t>El sistema deberá permitir recibir productos del catálogo relacionados con su consulta.</w:t>
      </w:r>
    </w:p>
    <w:p>
      <w:r>
        <w:t>Trazabilidad: HU-027. Prioridad: Crítica. Verificación: Recomendaciones vinculadas a productos existentes; disponibilidad considerada; enlaces a ficha; sin productos inventados.</w:t>
      </w:r>
    </w:p>
    <w:p>
      <w:pPr>
        <w:pStyle w:val="Heading2"/>
        <w:keepNext/>
      </w:pPr>
      <w:r>
        <w:t>RF-028 Asistente IA</w:t>
      </w:r>
    </w:p>
    <w:p>
      <w:pPr>
        <w:keepNext/>
      </w:pPr>
      <w:r>
        <w:t>El sistema deberá permitir obtener una lista estimada de materiales y tiempo.</w:t>
      </w:r>
    </w:p>
    <w:p>
      <w:r>
        <w:t>Trazabilidad: HU-028. Prioridad: Alta. Verificación: Materiales enumerados; cantidades identificadas como estimaciones; tiempo aproximado; recomendaciones explicadas.</w:t>
      </w:r>
    </w:p>
    <w:p>
      <w:pPr>
        <w:pStyle w:val="Heading2"/>
        <w:keepNext/>
      </w:pPr>
      <w:r>
        <w:t>RF-029 Asistente IA</w:t>
      </w:r>
    </w:p>
    <w:p>
      <w:pPr>
        <w:keepNext/>
      </w:pPr>
      <w:r>
        <w:t>El sistema deberá permitir controlar errores y respuestas inseguras de la IA.</w:t>
      </w:r>
    </w:p>
    <w:p>
      <w:r>
        <w:t>Trazabilidad: HU-029. Prioridad: Crítica. Verificación: Errores externos controlados; consultas ambiguas aclaradas; contenido riesgoso limitado; registros sin datos sensibles.</w:t>
      </w:r>
    </w:p>
    <w:p>
      <w:pPr>
        <w:pStyle w:val="Heading2"/>
        <w:keepNext/>
      </w:pPr>
      <w:r>
        <w:t>RF-030 Pintura inteligente</w:t>
      </w:r>
    </w:p>
    <w:p>
      <w:pPr>
        <w:keepNext/>
      </w:pPr>
      <w:r>
        <w:t>El sistema deberá permitir calcular la pintura necesaria según las dimensiones.</w:t>
      </w:r>
    </w:p>
    <w:p>
      <w:r>
        <w:t>Trazabilidad: HU-030. Prioridad: Alta. Verificación: Superficie calculada; puertas y ventanas descontables; rendimiento y manos configurables; resultado verificable.</w:t>
      </w:r>
    </w:p>
    <w:p>
      <w:pPr>
        <w:pStyle w:val="Heading2"/>
        <w:keepNext/>
      </w:pPr>
      <w:r>
        <w:t>RF-031 Pintura inteligente</w:t>
      </w:r>
    </w:p>
    <w:p>
      <w:pPr>
        <w:keepNext/>
      </w:pPr>
      <w:r>
        <w:t>El sistema deberá permitir subir una fotografía.</w:t>
      </w:r>
    </w:p>
    <w:p>
      <w:r>
        <w:t>Trazabilidad: HU-031. Prioridad: Alta. Verificación: Imagen válida cargada; formato y tamaño controlados; análisis ejecutado; colores sugeridos mostrados.</w:t>
      </w:r>
    </w:p>
    <w:p>
      <w:pPr>
        <w:pStyle w:val="Heading2"/>
        <w:keepNext/>
      </w:pPr>
      <w:r>
        <w:t>RF-032 Pintura inteligente</w:t>
      </w:r>
    </w:p>
    <w:p>
      <w:pPr>
        <w:keepNext/>
      </w:pPr>
      <w:r>
        <w:t>El sistema deberá permitir visualizar colores y variantes de pintura.</w:t>
      </w:r>
    </w:p>
    <w:p>
      <w:r>
        <w:t>Trazabilidad: HU-032. Prioridad: Media. Verificación: Paleta visible; variantes relacionadas con catálogo; resultado diferenciable de una simulación exacta; interfaz responsive.</w:t>
      </w:r>
    </w:p>
    <w:p>
      <w:pPr>
        <w:pStyle w:val="Heading2"/>
        <w:keepNext/>
      </w:pPr>
      <w:r>
        <w:t>RF-033 Pintura inteligente</w:t>
      </w:r>
    </w:p>
    <w:p>
      <w:pPr>
        <w:keepNext/>
      </w:pPr>
      <w:r>
        <w:t>El sistema deberá permitir agregar las pinturas recomendadas al carrito.</w:t>
      </w:r>
    </w:p>
    <w:p>
      <w:r>
        <w:t>Trazabilidad: HU-033. Prioridad: Alta. Verificación: Producto y variante correctos; cantidad calculada transferida; stock validado; carrito actualizado.</w:t>
      </w:r>
    </w:p>
    <w:p>
      <w:pPr>
        <w:pStyle w:val="Heading2"/>
        <w:keepNext/>
      </w:pPr>
      <w:r>
        <w:t>RF-034 Maestros</w:t>
      </w:r>
    </w:p>
    <w:p>
      <w:pPr>
        <w:keepNext/>
      </w:pPr>
      <w:r>
        <w:t>El sistema deberá permitir crear un perfil profesional.</w:t>
      </w:r>
    </w:p>
    <w:p>
      <w:r>
        <w:t>Trazabilidad: HU-034. Prioridad: Crítica. Verificación: Registro diferenciado; perfil privado creado; datos obligatorios validados; estado pendiente asignado.</w:t>
      </w:r>
    </w:p>
    <w:p>
      <w:pPr>
        <w:pStyle w:val="Heading2"/>
        <w:keepNext/>
      </w:pPr>
      <w:r>
        <w:t>RF-035 Maestros</w:t>
      </w:r>
    </w:p>
    <w:p>
      <w:pPr>
        <w:keepNext/>
      </w:pPr>
      <w:r>
        <w:t>El sistema deberá permitir registrar especialidades, ubicación y experiencia.</w:t>
      </w:r>
    </w:p>
    <w:p>
      <w:r>
        <w:t>Trazabilidad: HU-035. Prioridad: Alta. Verificación: Especialidades seleccionables; región y comuna válidas; experiencia editable; información guardada.</w:t>
      </w:r>
    </w:p>
    <w:p>
      <w:pPr>
        <w:pStyle w:val="Heading2"/>
        <w:keepNext/>
      </w:pPr>
      <w:r>
        <w:t>RF-036 Maestros</w:t>
      </w:r>
    </w:p>
    <w:p>
      <w:pPr>
        <w:keepNext/>
      </w:pPr>
      <w:r>
        <w:t>El sistema deberá permitir publicar trabajos anteriores.</w:t>
      </w:r>
    </w:p>
    <w:p>
      <w:r>
        <w:t>Trazabilidad: HU-036. Prioridad: Media. Verificación: Portafolio administrable; imágenes y descripción validadas; trabajos asociados al perfil; privacidad controlada.</w:t>
      </w:r>
    </w:p>
    <w:p>
      <w:pPr>
        <w:pStyle w:val="Heading2"/>
        <w:keepNext/>
      </w:pPr>
      <w:r>
        <w:t>RF-037 Maestros</w:t>
      </w:r>
    </w:p>
    <w:p>
      <w:pPr>
        <w:keepNext/>
      </w:pPr>
      <w:r>
        <w:t>El sistema deberá permitir aprobar o rechazar perfiles.</w:t>
      </w:r>
    </w:p>
    <w:p>
      <w:r>
        <w:t>Trazabilidad: HU-037. Prioridad: Crítica. Verificación: Panel de revisión; aprobación y rechazo registrados; solo aprobados visibles; directorio público disponible.</w:t>
      </w:r>
    </w:p>
    <w:p>
      <w:pPr>
        <w:pStyle w:val="Heading2"/>
        <w:keepNext/>
      </w:pPr>
      <w:r>
        <w:t>RF-038 Servicios de maestros</w:t>
      </w:r>
    </w:p>
    <w:p>
      <w:pPr>
        <w:keepNext/>
      </w:pPr>
      <w:r>
        <w:t>El sistema deberá permitir consultar y actualizar su información mediante servicios seguros.</w:t>
      </w:r>
    </w:p>
    <w:p>
      <w:r>
        <w:t>Trazabilidad: HU-038. Prioridad: Alta. Verificación: API privada autenticada; el maestro consulta y actualiza solo su perfil; sesión y CSRF activos; cambios sensibles devuelven el perfil a revisión.</w:t>
      </w:r>
    </w:p>
    <w:p>
      <w:pPr>
        <w:pStyle w:val="Heading2"/>
        <w:keepNext/>
      </w:pPr>
      <w:r>
        <w:t>RF-039 Servicios de maestros</w:t>
      </w:r>
    </w:p>
    <w:p>
      <w:pPr>
        <w:keepNext/>
      </w:pPr>
      <w:r>
        <w:t>El sistema deberá permitir gestionar perfiles y como cliente consultar maestros aprobados mediante servicios diferenciados.</w:t>
      </w:r>
    </w:p>
    <w:p>
      <w:r>
        <w:t>Trazabilidad: HU-039. Prioridad: Alta. Verificación: Administración puede aprobar, rechazar o suspender; la API pública muestra solo perfiles aprobados y datos profesionales autorizados.</w:t>
      </w:r>
    </w:p>
    <w:p>
      <w:pPr>
        <w:pStyle w:val="Heading2"/>
        <w:keepNext/>
      </w:pPr>
      <w:r>
        <w:t>RF-040 Seguridad funcional</w:t>
      </w:r>
    </w:p>
    <w:p>
      <w:pPr>
        <w:keepNext/>
      </w:pPr>
      <w:r>
        <w:t>El sistema deberá permitir que la información privada de los maestros esté protegida.</w:t>
      </w:r>
    </w:p>
    <w:p>
      <w:r>
        <w:t>Trazabilidad: HU-040. Prioridad: Crítica. Verificación: No se exponen RUT, correo, teléfono ni observaciones; se impide consultar o modificar objetos de otro usuario; permisos verificados en servidor.</w:t>
      </w:r>
    </w:p>
    <w:p>
      <w:pPr>
        <w:pStyle w:val="Heading2"/>
        <w:keepNext/>
      </w:pPr>
      <w:r>
        <w:t>RF-041 Promoción y contacto de maestros</w:t>
      </w:r>
    </w:p>
    <w:p>
      <w:pPr>
        <w:keepNext/>
      </w:pPr>
      <w:r>
        <w:t>El sistema deberá permitir consultar los medios de contacto de un maestro aprobado.</w:t>
      </w:r>
    </w:p>
    <w:p>
      <w:pPr>
        <w:keepNext/>
      </w:pPr>
      <w:r>
        <w:t>Trazabilidad: HU-041. Prioridad: Crítica. Verificación: Perfil aprobado visible; contacto público autorizado; aviso de negociación externa; perfiles rechazados ocultos.</w:t>
      </w:r>
    </w:p>
    <w:p>
      <w:r>
        <w:t>Condición de alcance: comportamiento reformulado; requiere validación antes de su aceptación.</w:t>
      </w:r>
    </w:p>
    <w:p>
      <w:pPr>
        <w:pStyle w:val="Heading2"/>
        <w:keepNext/>
      </w:pPr>
      <w:r>
        <w:t>RF-042 Promoción y contacto de maestros</w:t>
      </w:r>
    </w:p>
    <w:p>
      <w:pPr>
        <w:keepNext/>
      </w:pPr>
      <w:r>
        <w:t>El sistema deberá permitir publicar una descripción de sus servicios.</w:t>
      </w:r>
    </w:p>
    <w:p>
      <w:pPr>
        <w:keepNext/>
      </w:pPr>
      <w:r>
        <w:t>Trazabilidad: HU-042. Prioridad: Alta. Verificación: Descripción editable por su propietario; datos validados; publicación sujeta a aprobación; sin cotización contractual dentro de SFI.</w:t>
      </w:r>
    </w:p>
    <w:p>
      <w:r>
        <w:t>Condición de alcance: comportamiento reformulado; requiere validación antes de su aceptación.</w:t>
      </w:r>
    </w:p>
    <w:p>
      <w:pPr>
        <w:pStyle w:val="Heading2"/>
        <w:keepNext/>
      </w:pPr>
      <w:r>
        <w:t>RF-043 Promoción y contacto de maestros</w:t>
      </w:r>
    </w:p>
    <w:p>
      <w:pPr>
        <w:keepNext/>
      </w:pPr>
      <w:r>
        <w:t>El sistema deberá permitir indicar su disponibilidad general de contacto.</w:t>
      </w:r>
    </w:p>
    <w:p>
      <w:pPr>
        <w:keepNext/>
      </w:pPr>
      <w:r>
        <w:t>Trazabilidad: HU-043. Prioridad: Alta. Verificación: Disponibilidad informativa editable; visible en perfil aprobado; aviso de que no constituye reserva de obra.</w:t>
      </w:r>
    </w:p>
    <w:p>
      <w:r>
        <w:t>Condición de alcance: comportamiento reformulado; requiere validación antes de su aceptación.</w:t>
      </w:r>
    </w:p>
    <w:p>
      <w:pPr>
        <w:pStyle w:val="Heading2"/>
        <w:keepNext/>
      </w:pPr>
      <w:r>
        <w:t>RF-044 Promoción y contacto de maestros</w:t>
      </w:r>
    </w:p>
    <w:p>
      <w:pPr>
        <w:keepNext/>
      </w:pPr>
      <w:r>
        <w:t>El sistema deberá permitir conocer el alcance del directorio de maestros.</w:t>
      </w:r>
    </w:p>
    <w:p>
      <w:pPr>
        <w:keepNext/>
      </w:pPr>
      <w:r>
        <w:t>Trazabilidad: HU-044. Prioridad: Alta. Verificación: Aviso visible antes del contacto; negociación y ejecución externas; sin seguimiento contractual de obras en la plataforma.</w:t>
      </w:r>
    </w:p>
    <w:p>
      <w:r>
        <w:t>Condición de alcance: comportamiento reformulado; requiere validación antes de su aceptación.</w:t>
      </w:r>
    </w:p>
    <w:p>
      <w:pPr>
        <w:pStyle w:val="Heading2"/>
        <w:keepNext/>
      </w:pPr>
      <w:r>
        <w:t>RF-045 Piloto</w:t>
      </w:r>
    </w:p>
    <w:p>
      <w:pPr>
        <w:keepNext/>
      </w:pPr>
      <w:r>
        <w:t>El sistema deberá permitir ejecutar casos de aceptación.</w:t>
      </w:r>
    </w:p>
    <w:p>
      <w:r>
        <w:t>Trazabilidad: HU-045. Prioridad: Crítica. Verificación: Casos UAT definidos; usuarios piloto habilitados; resultados registrados; aceptación o brechas documentadas.</w:t>
      </w:r>
    </w:p>
    <w:p>
      <w:pPr>
        <w:pStyle w:val="Heading2"/>
        <w:keepNext/>
      </w:pPr>
      <w:r>
        <w:t>RF-046 Kardex</w:t>
      </w:r>
    </w:p>
    <w:p>
      <w:pPr>
        <w:keepNext/>
      </w:pPr>
      <w:r>
        <w:t>El sistema deberá permitir consultar entradas, salidas y ajustes por producto.</w:t>
      </w:r>
    </w:p>
    <w:p>
      <w:r>
        <w:t>Trazabilidad: HU-046. Prioridad: Crítica. Verificación: Cada movimiento registra producto, tipo, cantidad, fecha, usuario y referencia; saldo conciliable; correcciones mediante movimiento de ajuste.</w:t>
      </w:r>
    </w:p>
    <w:p>
      <w:pPr>
        <w:pStyle w:val="Heading2"/>
        <w:keepNext/>
      </w:pPr>
      <w:r>
        <w:t>RF-047 Créditos de maestros</w:t>
      </w:r>
    </w:p>
    <w:p>
      <w:pPr>
        <w:keepNext/>
      </w:pPr>
      <w:r>
        <w:t>El sistema deberá permitir gestionar el cupo comercial de maestros.</w:t>
      </w:r>
    </w:p>
    <w:p>
      <w:pPr>
        <w:keepNext/>
      </w:pPr>
      <w:r>
        <w:t>Trazabilidad: HU-047. Prioridad: Alta. Verificación: Cupo y saldo visibles solo a autorizados; bloqueo de sobregiro; cambios auditables; reglas de aprobación y crecimiento parametrizadas.</w:t>
      </w:r>
    </w:p>
    <w:p>
      <w:r>
        <w:t>Pendiente comercial: definir monto inicial, plazos, reglas de crecimiento, suspensión y tratamiento de mora. El sistema no aplicará reglas financieras no aprobadas.</w:t>
      </w:r>
    </w:p>
    <w:p>
      <w:pPr>
        <w:pStyle w:val="Heading1"/>
      </w:pPr>
      <w:r>
        <w:t>Reglas de negocio</w:t>
      </w:r>
    </w:p>
    <w:tbl>
      <w:tblPr>
        <w:tblW w:type="auto" w:w="0"/>
        <w:tblLayout w:type="fixed"/>
        <w:tblLook w:firstColumn="1" w:firstRow="1" w:lastColumn="0" w:lastRow="0" w:noHBand="0" w:noVBand="1" w:val="04A0"/>
      </w:tblPr>
      <w:tblGrid>
        <w:gridCol w:w="4968"/>
        <w:gridCol w:w="4968"/>
      </w:tblGrid>
      <w:tr>
        <w:trPr>
          <w:tblHeader/>
          <w:cantSplit/>
          <w:cantSplit/>
          <w:cantSplit/>
          <w:cantSplit/>
          <w:cantSplit/>
        </w:trPr>
        <w:tc>
          <w:tcPr>
            <w:tcW w:type="dxa" w:w="1008"/>
            <w:vAlign w:val="center"/>
            <w:tcBorders>
              <w:top w:val="single" w:sz="4" w:color="D9D9D9"/>
              <w:left w:val="single" w:sz="4" w:color="D9D9D9"/>
              <w:bottom w:val="single" w:sz="4" w:color="D9D9D9"/>
              <w:right w:val="single" w:sz="4" w:color="D9D9D9"/>
            </w:tcBorders>
            <w:shd w:fill="163A5F"/>
            <w:tcMar>
              <w:top w:w="90" w:type="dxa"/>
              <w:left w:w="90" w:type="dxa"/>
              <w:bottom w:w="90" w:type="dxa"/>
              <w:right w:w="90" w:type="dxa"/>
            </w:tcMar>
          </w:tcPr>
          <w:p>
            <w:pPr>
              <w:keepNext/>
              <w:spacing w:after="60"/>
            </w:pPr>
            <w:r>
              <w:rPr>
                <w:b/>
                <w:color w:val="FFFFFF"/>
                <w:sz w:val="18"/>
              </w:rPr>
              <w:t>ID</w:t>
            </w:r>
          </w:p>
        </w:tc>
        <w:tc>
          <w:tcPr>
            <w:tcW w:type="dxa" w:w="8928"/>
            <w:vAlign w:val="center"/>
            <w:tcBorders>
              <w:top w:val="single" w:sz="4" w:color="D9D9D9"/>
              <w:left w:val="single" w:sz="4" w:color="D9D9D9"/>
              <w:bottom w:val="single" w:sz="4" w:color="D9D9D9"/>
              <w:right w:val="single" w:sz="4" w:color="D9D9D9"/>
            </w:tcBorders>
            <w:shd w:fill="163A5F"/>
            <w:tcMar>
              <w:top w:w="90" w:type="dxa"/>
              <w:left w:w="90" w:type="dxa"/>
              <w:bottom w:w="90" w:type="dxa"/>
              <w:right w:w="90" w:type="dxa"/>
            </w:tcMar>
          </w:tcPr>
          <w:p>
            <w:pPr>
              <w:keepNext/>
              <w:spacing w:after="60"/>
            </w:pPr>
            <w:r>
              <w:rPr>
                <w:b/>
                <w:color w:val="FFFFFF"/>
                <w:sz w:val="18"/>
              </w:rPr>
              <w:t>Regla verificable</w:t>
            </w:r>
          </w:p>
        </w:tc>
      </w:tr>
      <w:tr>
        <w:trPr>
          <w:cantSplit/>
          <w:cantSplit/>
          <w:cantSplit/>
          <w:cantSplit/>
          <w:cantSplit/>
        </w:trPr>
        <w:tc>
          <w:tcPr>
            <w:tcW w:type="dxa" w:w="1008"/>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RN-01</w:t>
            </w:r>
          </w:p>
        </w:tc>
        <w:tc>
          <w:tcPr>
            <w:tcW w:type="dxa" w:w="8928"/>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Una cuenta accede únicamente a los datos privados propios o a los autorizados por su rol.</w:t>
            </w:r>
          </w:p>
        </w:tc>
      </w:tr>
      <w:tr>
        <w:trPr>
          <w:cantSplit/>
          <w:cantSplit/>
          <w:cantSplit/>
          <w:cantSplit/>
          <w:cantSplit/>
        </w:trPr>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RN-02</w:t>
            </w:r>
          </w:p>
        </w:tc>
        <w:tc>
          <w:tcPr>
            <w:tcW w:type="dxa" w:w="89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Los productos no publicados no aparecen en el catálogo público.</w:t>
            </w:r>
          </w:p>
        </w:tc>
      </w:tr>
      <w:tr>
        <w:trPr>
          <w:cantSplit/>
          <w:cantSplit/>
          <w:cantSplit/>
          <w:cantSplit/>
          <w:cantSplit/>
        </w:trPr>
        <w:tc>
          <w:tcPr>
            <w:tcW w:type="dxa" w:w="1008"/>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RN-03</w:t>
            </w:r>
          </w:p>
        </w:tc>
        <w:tc>
          <w:tcPr>
            <w:tcW w:type="dxa" w:w="8928"/>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La compra valida disponibilidad y totales antes de confirmar la operación; las operaciones repetidas no duplican descuentos de stock.</w:t>
            </w:r>
          </w:p>
        </w:tc>
      </w:tr>
      <w:tr>
        <w:trPr>
          <w:cantSplit/>
          <w:cantSplit/>
          <w:cantSplit/>
          <w:cantSplit/>
          <w:cantSplit/>
        </w:trPr>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RN-04</w:t>
            </w:r>
          </w:p>
        </w:tc>
        <w:tc>
          <w:tcPr>
            <w:tcW w:type="dxa" w:w="89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Una venta no se marca pagada por el retorno visual del navegador; requiere la validación de la respuesta de pago.</w:t>
            </w:r>
          </w:p>
        </w:tc>
      </w:tr>
      <w:tr>
        <w:trPr>
          <w:cantSplit/>
          <w:cantSplit/>
          <w:cantSplit/>
          <w:cantSplit/>
          <w:cantSplit/>
        </w:trPr>
        <w:tc>
          <w:tcPr>
            <w:tcW w:type="dxa" w:w="1008"/>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RN-05</w:t>
            </w:r>
          </w:p>
        </w:tc>
        <w:tc>
          <w:tcPr>
            <w:tcW w:type="dxa" w:w="8928"/>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Todo cambio de existencias produce un movimiento identificable; un ajuste conserva la trazabilidad de lo corregido.</w:t>
            </w:r>
          </w:p>
        </w:tc>
      </w:tr>
      <w:tr>
        <w:trPr>
          <w:cantSplit/>
          <w:cantSplit/>
          <w:cantSplit/>
          <w:cantSplit/>
          <w:cantSplit/>
        </w:trPr>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RN-06</w:t>
            </w:r>
          </w:p>
        </w:tc>
        <w:tc>
          <w:tcPr>
            <w:tcW w:type="dxa" w:w="89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Solo maestros aprobados aparecen públicamente; los documentos privados no se exponen en el directorio.</w:t>
            </w:r>
          </w:p>
        </w:tc>
      </w:tr>
      <w:tr>
        <w:trPr>
          <w:cantSplit/>
          <w:cantSplit/>
          <w:cantSplit/>
          <w:cantSplit/>
          <w:cantSplit/>
        </w:trPr>
        <w:tc>
          <w:tcPr>
            <w:tcW w:type="dxa" w:w="1008"/>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RN-07</w:t>
            </w:r>
          </w:p>
        </w:tc>
        <w:tc>
          <w:tcPr>
            <w:tcW w:type="dxa" w:w="8928"/>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La disponibilidad del maestro es informativa y no representa una reserva contractual.</w:t>
            </w:r>
          </w:p>
        </w:tc>
      </w:tr>
      <w:tr>
        <w:trPr>
          <w:cantSplit/>
          <w:cantSplit/>
          <w:cantSplit/>
          <w:cantSplit/>
          <w:cantSplit/>
        </w:trPr>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RN-08</w:t>
            </w:r>
          </w:p>
        </w:tc>
        <w:tc>
          <w:tcPr>
            <w:tcW w:type="dxa" w:w="89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Un crédito no permite superar el cupo disponible; modificaciones de cupo requieren autorización y registro de autor y motivo.</w:t>
            </w:r>
          </w:p>
        </w:tc>
      </w:tr>
      <w:tr>
        <w:trPr>
          <w:cantSplit/>
          <w:cantSplit/>
          <w:cantSplit/>
          <w:cantSplit/>
          <w:cantSplit/>
        </w:trPr>
        <w:tc>
          <w:tcPr>
            <w:tcW w:type="dxa" w:w="1008"/>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RN-09</w:t>
            </w:r>
          </w:p>
        </w:tc>
        <w:tc>
          <w:tcPr>
            <w:tcW w:type="dxa" w:w="8928"/>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Los materiales y tiempos sugeridos por IA se muestran como estimaciones; los productos recomendados deben corresponder al catálogo vigente.</w:t>
            </w:r>
          </w:p>
        </w:tc>
      </w:tr>
      <w:tr>
        <w:trPr>
          <w:cantSplit/>
          <w:cantSplit/>
          <w:cantSplit/>
          <w:cantSplit/>
          <w:cantSplit/>
        </w:trPr>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pPr>
            <w:r>
              <w:rPr>
                <w:b w:val="0"/>
                <w:color w:val="000000"/>
                <w:sz w:val="18"/>
              </w:rPr>
              <w:t>RN-10</w:t>
            </w:r>
          </w:p>
        </w:tc>
        <w:tc>
          <w:tcPr>
            <w:tcW w:type="dxa" w:w="89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pPr>
            <w:r>
              <w:rPr>
                <w:b w:val="0"/>
                <w:color w:val="000000"/>
                <w:sz w:val="18"/>
              </w:rPr>
              <w:t>Los costos y condiciones de retiro o despacho se informan antes de confirmar la venta.</w:t>
            </w:r>
          </w:p>
        </w:tc>
      </w:tr>
    </w:tbl>
    <w:p/>
    <w:p>
      <w:pPr>
        <w:pStyle w:val="Heading1"/>
      </w:pPr>
      <w:r>
        <w:t>Requisitos no funcionales propuestos</w:t>
      </w:r>
    </w:p>
    <w:p>
      <w:pPr>
        <w:pStyle w:val="Heading2"/>
        <w:keepNext/>
      </w:pPr>
      <w:r>
        <w:t>RNF-01 Acceso y protección</w:t>
      </w:r>
    </w:p>
    <w:p>
      <w:pPr>
        <w:keepNext/>
      </w:pPr>
      <w:r>
        <w:t>Todas las rutas privadas aplicarán autenticación, rol y propiedad del recurso.</w:t>
      </w:r>
    </w:p>
    <w:p>
      <w:r>
        <w:t>Verificación: Ejecutar matriz de accesos por actor; 100 % de los casos de denegación previstos deben bloquearse.</w:t>
      </w:r>
    </w:p>
    <w:p>
      <w:pPr>
        <w:pStyle w:val="Heading2"/>
        <w:keepNext/>
      </w:pPr>
      <w:r>
        <w:t>RNF-02 Datos sensibles</w:t>
      </w:r>
    </w:p>
    <w:p>
      <w:pPr>
        <w:keepNext/>
      </w:pPr>
      <w:r>
        <w:t>Contraseñas protegidas por el mecanismo del framework; secretos fuera del repositorio; comunicaciones productivas por HTTPS.</w:t>
      </w:r>
    </w:p>
    <w:p>
      <w:r>
        <w:t>Verificación: Revisar configuración y comprobar ausencia de contraseñas y credenciales en salidas públicas.</w:t>
      </w:r>
    </w:p>
    <w:p>
      <w:pPr>
        <w:pStyle w:val="Heading2"/>
        <w:keepNext/>
      </w:pPr>
      <w:r>
        <w:t>RNF-03 Consistencia</w:t>
      </w:r>
    </w:p>
    <w:p>
      <w:pPr>
        <w:keepNext/>
      </w:pPr>
      <w:r>
        <w:t>Venta, inventario y crédito deberán conservar consistencia ante reintentos y operaciones simultáneas.</w:t>
      </w:r>
    </w:p>
    <w:p>
      <w:r>
        <w:t>Verificación: Repetir confirmaciones y compras concurrentes; sin movimientos duplicados, sobregiro ni saldo negativo.</w:t>
      </w:r>
    </w:p>
    <w:p>
      <w:pPr>
        <w:pStyle w:val="Heading2"/>
        <w:keepNext/>
      </w:pPr>
      <w:r>
        <w:t>RNF-04 Rendimiento</w:t>
      </w:r>
    </w:p>
    <w:p>
      <w:pPr>
        <w:keepNext/>
      </w:pPr>
      <w:r>
        <w:t>Objetivo provisional: percentil 95 de respuesta menor o igual a 3 segundos en catálogo, ficha y carrito con 100 usuarios concurrentes durante 10 minutos, excluyendo la latencia de proveedores externos.</w:t>
      </w:r>
    </w:p>
    <w:p>
      <w:r>
        <w:t>Verificación: JMeter con datos, ramp-up, ambiente y recursos documentados; error de aplicación menor al 1 %. Validar este objetivo con el cliente; no equivale a resultados de cargas previas.</w:t>
      </w:r>
    </w:p>
    <w:p>
      <w:pPr>
        <w:pStyle w:val="Heading2"/>
        <w:keepNext/>
      </w:pPr>
      <w:r>
        <w:t>RNF-05 Uso en móvil</w:t>
      </w:r>
    </w:p>
    <w:p>
      <w:pPr>
        <w:keepNext/>
      </w:pPr>
      <w:r>
        <w:t>Recorridos de compra y perfiles utilizables en anchos de 360, 768 y 1366 px sin desplazamiento horizontal de la página.</w:t>
      </w:r>
    </w:p>
    <w:p>
      <w:r>
        <w:t>Verificación: Revisión visual y funcional; campos etiquetados, foco visible y mensajes comprensibles.</w:t>
      </w:r>
    </w:p>
    <w:p>
      <w:pPr>
        <w:pStyle w:val="Heading2"/>
        <w:keepNext/>
      </w:pPr>
      <w:r>
        <w:t>RNF-06 Respaldo</w:t>
      </w:r>
    </w:p>
    <w:p>
      <w:pPr>
        <w:keepNext/>
      </w:pPr>
      <w:r>
        <w:t>Propuesta: respaldo diario de datos; pérdida recuperable máxima de 24 horas y restauración en hasta 8 horas.</w:t>
      </w:r>
    </w:p>
    <w:p>
      <w:r>
        <w:t>Verificación: Restauración de prueba con fecha, tiempos y conciliación. Metas sujetas al hosting y acuerdo de operación.</w:t>
      </w:r>
    </w:p>
    <w:p>
      <w:pPr>
        <w:pStyle w:val="Heading2"/>
        <w:keepNext/>
      </w:pPr>
      <w:r>
        <w:t>RNF-07 Mantenimiento</w:t>
      </w:r>
    </w:p>
    <w:p>
      <w:pPr>
        <w:keepNext/>
      </w:pPr>
      <w:r>
        <w:t>Código modular, instalación y migraciones documentadas y pruebas de recorridos críticos.</w:t>
      </w:r>
    </w:p>
    <w:p>
      <w:r>
        <w:t>Verificación: Instalación en ambiente limpio y ejecución de pruebas con resultados reproducibles.</w:t>
      </w:r>
    </w:p>
    <w:p>
      <w:pPr>
        <w:pStyle w:val="Heading2"/>
        <w:keepNext/>
      </w:pPr>
      <w:r>
        <w:t>RNF-08 Archivos</w:t>
      </w:r>
    </w:p>
    <w:p>
      <w:pPr>
        <w:keepNext/>
      </w:pPr>
      <w:r>
        <w:t>Las imágenes y documentos tendrán tipos, tamaños y permisos de acceso definidos por configuración.</w:t>
      </w:r>
    </w:p>
    <w:p>
      <w:r>
        <w:t>Verificación: Propuesta inicial: imágenes de hasta 5 MB y documentos de hasta 10 MB; rechazar tipos inválidos y acceso ajeno. Validar límites antes del despliegue.</w:t>
      </w:r>
    </w:p>
    <w:p>
      <w:pPr>
        <w:pStyle w:val="Heading2"/>
        <w:keepNext/>
      </w:pPr>
      <w:r>
        <w:t>RNF-09 Trazabilidad</w:t>
      </w:r>
    </w:p>
    <w:p>
      <w:pPr>
        <w:keepNext/>
      </w:pPr>
      <w:r>
        <w:t>Registrar eventos de stock, pago, aprobación de maestros y crédito sin exponer secretos.</w:t>
      </w:r>
    </w:p>
    <w:p>
      <w:r>
        <w:t>Verificación: Cada evento permite identificar fecha, actor, operación y referencia; retención por definir con el cliente.</w:t>
      </w:r>
    </w:p>
    <w:p>
      <w:pPr>
        <w:pStyle w:val="Heading2"/>
        <w:keepNext/>
      </w:pPr>
      <w:r>
        <w:t>RNF-10 Fallos externos</w:t>
      </w:r>
    </w:p>
    <w:p>
      <w:pPr>
        <w:keepNext/>
      </w:pPr>
      <w:r>
        <w:t>Pago, correo e IA tendrán manejo de tiempos de espera y mensajes de error sin confirmar operaciones fallidas.</w:t>
      </w:r>
    </w:p>
    <w:p>
      <w:r>
        <w:t>Verificación: Simular indisponibilidad del proveedor y verificar estados recuperables y mensajes sin datos internos.</w:t>
      </w:r>
    </w:p>
    <w:p>
      <w:pPr>
        <w:pStyle w:val="Heading1"/>
      </w:pPr>
      <w:r>
        <w:t>Interfaces externas y contratos de datos</w:t>
      </w:r>
    </w:p>
    <w:tbl>
      <w:tblPr>
        <w:tblW w:type="auto" w:w="0"/>
        <w:tblLayout w:type="fixed"/>
        <w:tblLook w:firstColumn="1" w:firstRow="1" w:lastColumn="0" w:lastRow="0" w:noHBand="0" w:noVBand="1" w:val="04A0"/>
      </w:tblPr>
      <w:tblGrid>
        <w:gridCol w:w="3312"/>
        <w:gridCol w:w="3312"/>
        <w:gridCol w:w="3312"/>
      </w:tblGrid>
      <w:tr>
        <w:trPr>
          <w:tblHeader/>
          <w:cantSplit/>
          <w:cantSplit/>
          <w:cantSplit/>
          <w:cantSplit/>
          <w:cantSplit/>
        </w:trPr>
        <w:tc>
          <w:tcPr>
            <w:tcW w:type="dxa" w:w="1728"/>
            <w:vAlign w:val="center"/>
            <w:tcBorders>
              <w:top w:val="single" w:sz="4" w:color="D9D9D9"/>
              <w:left w:val="single" w:sz="4" w:color="D9D9D9"/>
              <w:bottom w:val="single" w:sz="4" w:color="D9D9D9"/>
              <w:right w:val="single" w:sz="4" w:color="D9D9D9"/>
            </w:tcBorders>
            <w:shd w:fill="163A5F"/>
            <w:tcMar>
              <w:top w:w="90" w:type="dxa"/>
              <w:left w:w="90" w:type="dxa"/>
              <w:bottom w:w="90" w:type="dxa"/>
              <w:right w:w="90" w:type="dxa"/>
            </w:tcMar>
          </w:tcPr>
          <w:p>
            <w:pPr>
              <w:keepNext/>
              <w:spacing w:after="60"/>
            </w:pPr>
            <w:r>
              <w:rPr>
                <w:b/>
                <w:color w:val="FFFFFF"/>
                <w:sz w:val="18"/>
              </w:rPr>
              <w:t>Interfaz</w:t>
            </w:r>
          </w:p>
        </w:tc>
        <w:tc>
          <w:tcPr>
            <w:tcW w:type="dxa" w:w="3456"/>
            <w:vAlign w:val="center"/>
            <w:tcBorders>
              <w:top w:val="single" w:sz="4" w:color="D9D9D9"/>
              <w:left w:val="single" w:sz="4" w:color="D9D9D9"/>
              <w:bottom w:val="single" w:sz="4" w:color="D9D9D9"/>
              <w:right w:val="single" w:sz="4" w:color="D9D9D9"/>
            </w:tcBorders>
            <w:shd w:fill="163A5F"/>
            <w:tcMar>
              <w:top w:w="90" w:type="dxa"/>
              <w:left w:w="90" w:type="dxa"/>
              <w:bottom w:w="90" w:type="dxa"/>
              <w:right w:w="90" w:type="dxa"/>
            </w:tcMar>
          </w:tcPr>
          <w:p>
            <w:pPr>
              <w:keepNext/>
              <w:spacing w:after="60"/>
            </w:pPr>
            <w:r>
              <w:rPr>
                <w:b/>
                <w:color w:val="FFFFFF"/>
                <w:sz w:val="18"/>
              </w:rPr>
              <w:t>Entradas y salidas</w:t>
            </w:r>
          </w:p>
        </w:tc>
        <w:tc>
          <w:tcPr>
            <w:tcW w:type="dxa" w:w="4752"/>
            <w:vAlign w:val="center"/>
            <w:tcBorders>
              <w:top w:val="single" w:sz="4" w:color="D9D9D9"/>
              <w:left w:val="single" w:sz="4" w:color="D9D9D9"/>
              <w:bottom w:val="single" w:sz="4" w:color="D9D9D9"/>
              <w:right w:val="single" w:sz="4" w:color="D9D9D9"/>
            </w:tcBorders>
            <w:shd w:fill="163A5F"/>
            <w:tcMar>
              <w:top w:w="90" w:type="dxa"/>
              <w:left w:w="90" w:type="dxa"/>
              <w:bottom w:w="90" w:type="dxa"/>
              <w:right w:w="90" w:type="dxa"/>
            </w:tcMar>
          </w:tcPr>
          <w:p>
            <w:pPr>
              <w:keepNext/>
              <w:spacing w:after="60"/>
            </w:pPr>
            <w:r>
              <w:rPr>
                <w:b/>
                <w:color w:val="FFFFFF"/>
                <w:sz w:val="18"/>
              </w:rPr>
              <w:t>Condición</w:t>
            </w:r>
          </w:p>
        </w:tc>
      </w:tr>
      <w:tr>
        <w:trPr>
          <w:cantSplit/>
          <w:cantSplit/>
          <w:cantSplit/>
          <w:cantSplit/>
          <w:cantSplit/>
        </w:trPr>
        <w:tc>
          <w:tcPr>
            <w:tcW w:type="dxa" w:w="1728"/>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Webpay Plus</w:t>
            </w:r>
          </w:p>
        </w:tc>
        <w:tc>
          <w:tcPr>
            <w:tcW w:type="dxa" w:w="3456"/>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Identificador de venta, monto, sesión y respuesta de pago.</w:t>
            </w:r>
          </w:p>
        </w:tc>
        <w:tc>
          <w:tcPr>
            <w:tcW w:type="dxa" w:w="4752"/>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Confirmar ambiente y credenciales; verificar monto, orden y estado antes de actualizar la venta.</w:t>
            </w:r>
          </w:p>
        </w:tc>
      </w:tr>
      <w:tr>
        <w:trPr>
          <w:cantSplit/>
          <w:cantSplit/>
          <w:cantSplit/>
          <w:cantSplit/>
          <w:cantSplit/>
        </w:trPr>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Proveedor de IA</w:t>
            </w:r>
          </w:p>
        </w:tc>
        <w:tc>
          <w:tcPr>
            <w:tcW w:type="dxa" w:w="34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Consulta, datos permitidos y respuesta de orientación.</w:t>
            </w:r>
          </w:p>
        </w:tc>
        <w:tc>
          <w:tcPr>
            <w:tcW w:type="dxa" w:w="475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Definir proveedor, límite, timeout y datos transmitidos; mostrar error sin inventar una respuesta.</w:t>
            </w:r>
          </w:p>
        </w:tc>
      </w:tr>
      <w:tr>
        <w:trPr>
          <w:cantSplit/>
          <w:cantSplit/>
          <w:cantSplit/>
          <w:cantSplit/>
          <w:cantSplit/>
        </w:trPr>
        <w:tc>
          <w:tcPr>
            <w:tcW w:type="dxa" w:w="1728"/>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Correo</w:t>
            </w:r>
          </w:p>
        </w:tc>
        <w:tc>
          <w:tcPr>
            <w:tcW w:type="dxa" w:w="3456"/>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Destinatario, enlace temporal y notificaciones.</w:t>
            </w:r>
          </w:p>
        </w:tc>
        <w:tc>
          <w:tcPr>
            <w:tcW w:type="dxa" w:w="4752"/>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Configurar servicio real, expiración de enlaces y registro de fallo sin revelar datos sensibles.</w:t>
            </w:r>
          </w:p>
        </w:tc>
      </w:tr>
      <w:tr>
        <w:trPr>
          <w:cantSplit/>
          <w:cantSplit/>
          <w:cantSplit/>
          <w:cantSplit/>
          <w:cantSplit/>
        </w:trPr>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Datos empresariales</w:t>
            </w:r>
          </w:p>
        </w:tc>
        <w:tc>
          <w:tcPr>
            <w:tcW w:type="dxa" w:w="34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Catálogo, precios, existencias y proveedores.</w:t>
            </w:r>
          </w:p>
        </w:tc>
        <w:tc>
          <w:tcPr>
            <w:tcW w:type="dxa" w:w="475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Definir formato, validaciones, conciliación y responsable de carga por cliente.</w:t>
            </w:r>
          </w:p>
        </w:tc>
      </w:tr>
      <w:tr>
        <w:trPr>
          <w:cantSplit/>
          <w:cantSplit/>
          <w:cantSplit/>
          <w:cantSplit/>
          <w:cantSplit/>
        </w:trPr>
        <w:tc>
          <w:tcPr>
            <w:tcW w:type="dxa" w:w="1728"/>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APIs de maestros</w:t>
            </w:r>
          </w:p>
        </w:tc>
        <w:tc>
          <w:tcPr>
            <w:tcW w:type="dxa" w:w="3456"/>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Datos de perfil, servicios y estados de aprobación.</w:t>
            </w:r>
          </w:p>
        </w:tc>
        <w:tc>
          <w:tcPr>
            <w:tcW w:type="dxa" w:w="4752"/>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Separar consulta pública de operaciones privadas; validar identidad y propiedad.</w:t>
            </w:r>
          </w:p>
        </w:tc>
      </w:tr>
      <w:tr>
        <w:trPr>
          <w:cantSplit/>
          <w:cantSplit/>
          <w:cantSplit/>
          <w:cantSplit/>
          <w:cantSplit/>
        </w:trPr>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pPr>
            <w:r>
              <w:rPr>
                <w:b w:val="0"/>
                <w:color w:val="000000"/>
                <w:sz w:val="18"/>
              </w:rPr>
              <w:t>Retiro y despacho</w:t>
            </w:r>
          </w:p>
        </w:tc>
        <w:tc>
          <w:tcPr>
            <w:tcW w:type="dxa" w:w="34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pPr>
            <w:r>
              <w:rPr>
                <w:b w:val="0"/>
                <w:color w:val="000000"/>
                <w:sz w:val="18"/>
              </w:rPr>
              <w:t>Dirección, modalidad y estado de entrega.</w:t>
            </w:r>
          </w:p>
        </w:tc>
        <w:tc>
          <w:tcPr>
            <w:tcW w:type="dxa" w:w="475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pPr>
            <w:r>
              <w:rPr>
                <w:b w:val="0"/>
                <w:color w:val="000000"/>
                <w:sz w:val="18"/>
              </w:rPr>
              <w:t>Cobertura, tarifa y proveedor logístico pendientes de acuerdo.</w:t>
            </w:r>
          </w:p>
        </w:tc>
      </w:tr>
    </w:tbl>
    <w:p/>
    <w:p>
      <w:pPr>
        <w:pStyle w:val="Heading1"/>
      </w:pPr>
      <w:r>
        <w:t>Información y entidades principales</w:t>
      </w:r>
    </w:p>
    <w:p>
      <w:r>
        <w:t>Entidades conceptuales: usuario y rol, producto y categoría, proveedor, solicitud de reposición y detalle, movimiento de inventario, carrito y detalle, venta y detalle, pago, entrega, perfil de maestro, especialidad, trabajo publicado, documento privado y cuenta de crédito con movimientos. Las claves, cardinalidades y nombres físicos se deben contrastar con el DDL y las migraciones; esta ERS no sustituye un modelo relacional verificado.</w:t>
      </w:r>
    </w:p>
    <w:p>
      <w:pPr>
        <w:pStyle w:val="Heading1"/>
      </w:pPr>
      <w:r>
        <w:t>Escenarios de aceptación integral</w:t>
      </w:r>
    </w:p>
    <w:tbl>
      <w:tblPr>
        <w:tblW w:type="auto" w:w="0"/>
        <w:tblLayout w:type="fixed"/>
        <w:tblLook w:firstColumn="1" w:firstRow="1" w:lastColumn="0" w:lastRow="0" w:noHBand="0" w:noVBand="1" w:val="04A0"/>
      </w:tblPr>
      <w:tblGrid>
        <w:gridCol w:w="3312"/>
        <w:gridCol w:w="3312"/>
        <w:gridCol w:w="3312"/>
      </w:tblGrid>
      <w:tr>
        <w:trPr>
          <w:tblHeader/>
          <w:cantSplit/>
          <w:cantSplit/>
          <w:cantSplit/>
          <w:cantSplit/>
          <w:cantSplit/>
        </w:trPr>
        <w:tc>
          <w:tcPr>
            <w:tcW w:type="dxa" w:w="2448"/>
            <w:vAlign w:val="center"/>
            <w:tcBorders>
              <w:top w:val="single" w:sz="4" w:color="D9D9D9"/>
              <w:left w:val="single" w:sz="4" w:color="D9D9D9"/>
              <w:bottom w:val="single" w:sz="4" w:color="D9D9D9"/>
              <w:right w:val="single" w:sz="4" w:color="D9D9D9"/>
            </w:tcBorders>
            <w:shd w:fill="163A5F"/>
            <w:tcMar>
              <w:top w:w="90" w:type="dxa"/>
              <w:left w:w="90" w:type="dxa"/>
              <w:bottom w:w="90" w:type="dxa"/>
              <w:right w:w="90" w:type="dxa"/>
            </w:tcMar>
          </w:tcPr>
          <w:p>
            <w:pPr>
              <w:keepNext/>
              <w:spacing w:after="60"/>
            </w:pPr>
            <w:r>
              <w:rPr>
                <w:b/>
                <w:color w:val="FFFFFF"/>
                <w:sz w:val="18"/>
              </w:rPr>
              <w:t>Caso</w:t>
            </w:r>
          </w:p>
        </w:tc>
        <w:tc>
          <w:tcPr>
            <w:tcW w:type="dxa" w:w="2304"/>
            <w:vAlign w:val="center"/>
            <w:tcBorders>
              <w:top w:val="single" w:sz="4" w:color="D9D9D9"/>
              <w:left w:val="single" w:sz="4" w:color="D9D9D9"/>
              <w:bottom w:val="single" w:sz="4" w:color="D9D9D9"/>
              <w:right w:val="single" w:sz="4" w:color="D9D9D9"/>
            </w:tcBorders>
            <w:shd w:fill="163A5F"/>
            <w:tcMar>
              <w:top w:w="90" w:type="dxa"/>
              <w:left w:w="90" w:type="dxa"/>
              <w:bottom w:w="90" w:type="dxa"/>
              <w:right w:w="90" w:type="dxa"/>
            </w:tcMar>
          </w:tcPr>
          <w:p>
            <w:pPr>
              <w:keepNext/>
              <w:spacing w:after="60"/>
            </w:pPr>
            <w:r>
              <w:rPr>
                <w:b/>
                <w:color w:val="FFFFFF"/>
                <w:sz w:val="18"/>
              </w:rPr>
              <w:t>Requisitos</w:t>
            </w:r>
          </w:p>
        </w:tc>
        <w:tc>
          <w:tcPr>
            <w:tcW w:type="dxa" w:w="5184"/>
            <w:vAlign w:val="center"/>
            <w:tcBorders>
              <w:top w:val="single" w:sz="4" w:color="D9D9D9"/>
              <w:left w:val="single" w:sz="4" w:color="D9D9D9"/>
              <w:bottom w:val="single" w:sz="4" w:color="D9D9D9"/>
              <w:right w:val="single" w:sz="4" w:color="D9D9D9"/>
            </w:tcBorders>
            <w:shd w:fill="163A5F"/>
            <w:tcMar>
              <w:top w:w="90" w:type="dxa"/>
              <w:left w:w="90" w:type="dxa"/>
              <w:bottom w:w="90" w:type="dxa"/>
              <w:right w:w="90" w:type="dxa"/>
            </w:tcMar>
          </w:tcPr>
          <w:p>
            <w:pPr>
              <w:keepNext/>
              <w:spacing w:after="60"/>
            </w:pPr>
            <w:r>
              <w:rPr>
                <w:b/>
                <w:color w:val="FFFFFF"/>
                <w:sz w:val="18"/>
              </w:rPr>
              <w:t>Resultado esperado</w:t>
            </w:r>
          </w:p>
        </w:tc>
      </w:tr>
      <w:tr>
        <w:trPr>
          <w:cantSplit/>
          <w:cantSplit/>
          <w:cantSplit/>
          <w:cantSplit/>
          <w:cantSplit/>
        </w:trPr>
        <w:tc>
          <w:tcPr>
            <w:tcW w:type="dxa" w:w="2448"/>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CA-01 Compra completa</w:t>
            </w:r>
          </w:p>
        </w:tc>
        <w:tc>
          <w:tcPr>
            <w:tcW w:type="dxa" w:w="2304"/>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RF-006 a RF-022</w:t>
            </w:r>
          </w:p>
        </w:tc>
        <w:tc>
          <w:tcPr>
            <w:tcW w:type="dxa" w:w="5184"/>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Cliente compra con stock, obtiene total correcto y una única confirmación de pago y movimiento de salida.</w:t>
            </w:r>
          </w:p>
        </w:tc>
      </w:tr>
      <w:tr>
        <w:trPr>
          <w:cantSplit/>
          <w:cantSplit/>
          <w:cantSplit/>
          <w:cantSplit/>
          <w:cantSplit/>
        </w:trPr>
        <w:tc>
          <w:tcPr>
            <w:tcW w:type="dxa" w:w="24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CA-02 Pago rechazado o repetido</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RF-021, RF-022; RN-04</w:t>
            </w:r>
          </w:p>
        </w:tc>
        <w:tc>
          <w:tcPr>
            <w:tcW w:type="dxa" w:w="51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Estado correcto, sin doble venta ni confirmación falsa.</w:t>
            </w:r>
          </w:p>
        </w:tc>
      </w:tr>
      <w:tr>
        <w:trPr>
          <w:cantSplit/>
          <w:cantSplit/>
          <w:cantSplit/>
          <w:cantSplit/>
          <w:cantSplit/>
        </w:trPr>
        <w:tc>
          <w:tcPr>
            <w:tcW w:type="dxa" w:w="2448"/>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CA-03 Inventario y reposición</w:t>
            </w:r>
          </w:p>
        </w:tc>
        <w:tc>
          <w:tcPr>
            <w:tcW w:type="dxa" w:w="2304"/>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RF-010 a RF-012, RF-046</w:t>
            </w:r>
          </w:p>
        </w:tc>
        <w:tc>
          <w:tcPr>
            <w:tcW w:type="dxa" w:w="5184"/>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Entrada, salida y ajuste concilian; recepción aplica una sola vez.</w:t>
            </w:r>
          </w:p>
        </w:tc>
      </w:tr>
      <w:tr>
        <w:trPr>
          <w:cantSplit/>
          <w:cantSplit/>
          <w:cantSplit/>
          <w:cantSplit/>
          <w:cantSplit/>
        </w:trPr>
        <w:tc>
          <w:tcPr>
            <w:tcW w:type="dxa" w:w="24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CA-04 Perfil público y privacidad</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RF-034 a RF-044</w:t>
            </w:r>
          </w:p>
        </w:tc>
        <w:tc>
          <w:tcPr>
            <w:tcW w:type="dxa" w:w="51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Solo aprobados visibles; otro usuario no consulta ni cambia documentos privados.</w:t>
            </w:r>
          </w:p>
        </w:tc>
      </w:tr>
      <w:tr>
        <w:trPr>
          <w:cantSplit/>
          <w:cantSplit/>
          <w:cantSplit/>
          <w:cantSplit/>
          <w:cantSplit/>
        </w:trPr>
        <w:tc>
          <w:tcPr>
            <w:tcW w:type="dxa" w:w="2448"/>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CA-05 Crédito comercial</w:t>
            </w:r>
          </w:p>
        </w:tc>
        <w:tc>
          <w:tcPr>
            <w:tcW w:type="dxa" w:w="2304"/>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RF-047; RN-08</w:t>
            </w:r>
          </w:p>
        </w:tc>
        <w:tc>
          <w:tcPr>
            <w:tcW w:type="dxa" w:w="5184"/>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Cupo autorizado, saldo consistente y rechazo de sobregiro.</w:t>
            </w:r>
          </w:p>
        </w:tc>
      </w:tr>
      <w:tr>
        <w:trPr>
          <w:cantSplit/>
          <w:cantSplit/>
          <w:cantSplit/>
          <w:cantSplit/>
          <w:cantSplit/>
        </w:trPr>
        <w:tc>
          <w:tcPr>
            <w:tcW w:type="dxa" w:w="24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CA-06 Orientación y pintura</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RF-026 a RF-033</w:t>
            </w:r>
          </w:p>
        </w:tc>
        <w:tc>
          <w:tcPr>
            <w:tcW w:type="dxa" w:w="51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Estimación identificada, productos válidos y errores externos controlados.</w:t>
            </w:r>
          </w:p>
        </w:tc>
      </w:tr>
      <w:tr>
        <w:trPr>
          <w:cantSplit/>
          <w:cantSplit/>
          <w:cantSplit/>
          <w:cantSplit/>
          <w:cantSplit/>
        </w:trPr>
        <w:tc>
          <w:tcPr>
            <w:tcW w:type="dxa" w:w="2448"/>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val="0"/>
              <w:spacing w:after="60"/>
            </w:pPr>
            <w:r>
              <w:rPr>
                <w:b w:val="0"/>
                <w:color w:val="000000"/>
                <w:sz w:val="18"/>
              </w:rPr>
              <w:t>CA-07 Recuperación de acceso</w:t>
            </w:r>
          </w:p>
        </w:tc>
        <w:tc>
          <w:tcPr>
            <w:tcW w:type="dxa" w:w="2304"/>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val="0"/>
              <w:spacing w:after="60"/>
            </w:pPr>
            <w:r>
              <w:rPr>
                <w:b w:val="0"/>
                <w:color w:val="000000"/>
                <w:sz w:val="18"/>
              </w:rPr>
              <w:t>RF-002 a RF-005</w:t>
            </w:r>
          </w:p>
        </w:tc>
        <w:tc>
          <w:tcPr>
            <w:tcW w:type="dxa" w:w="5184"/>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val="0"/>
              <w:spacing w:after="60"/>
            </w:pPr>
            <w:r>
              <w:rPr>
                <w:b w:val="0"/>
                <w:color w:val="000000"/>
                <w:sz w:val="18"/>
              </w:rPr>
              <w:t>Enlace temporal y permiso válido; token inválido o vencido rechazado.</w:t>
            </w:r>
          </w:p>
        </w:tc>
      </w:tr>
    </w:tbl>
    <w:p/>
    <w:p>
      <w:pPr>
        <w:pStyle w:val="Heading1"/>
      </w:pPr>
      <w:r>
        <w:t>Trazabilidad y aceptación final</w:t>
      </w:r>
    </w:p>
    <w:p>
      <w:r>
        <w:t>RF-001 a RF-047 corresponden a HU-001 a HU-047; los IDs se conservan entre ERS y Product Backlog. Las tareas TA-001 a TA-018 producen gestión, configuración, pruebas, documentación y entrega, cubiertas por la EDT. Cada caso de QA debe registrar requisito, PBI, versión probada, datos de entrada, resultado esperado, resultado obtenido y evidencia.</w:t>
      </w:r>
    </w:p>
    <w:p>
      <w:r>
        <w:t>La aprobación final requiere ejecutar los escenarios acordados, satisfacer los requisitos aplicables y documentar excepciones. Este documento no afirma que las pruebas estén ejecutadas ni que el producto cumpla los objetivos propuestos. Los requisitos no funcionales cuantitativos requieren validación antes de convertirse en compromisos contractuales.</w:t>
      </w:r>
    </w:p>
    <w:p>
      <w:pPr>
        <w:pStyle w:val="Heading1"/>
      </w:pPr>
      <w:r>
        <w:t>Decisiones pendientes</w:t>
      </w:r>
    </w:p>
    <w:tbl>
      <w:tblPr>
        <w:tblW w:type="auto" w:w="0"/>
        <w:tblLayout w:type="fixed"/>
        <w:tblLook w:firstColumn="1" w:firstRow="1" w:lastColumn="0" w:lastRow="0" w:noHBand="0" w:noVBand="1" w:val="04A0"/>
      </w:tblPr>
      <w:tblGrid>
        <w:gridCol w:w="4968"/>
        <w:gridCol w:w="4968"/>
      </w:tblGrid>
      <w:tr>
        <w:trPr>
          <w:tblHeader/>
          <w:cantSplit/>
          <w:cantSplit/>
          <w:cantSplit/>
          <w:cantSplit/>
          <w:cantSplit/>
        </w:trPr>
        <w:tc>
          <w:tcPr>
            <w:tcW w:type="dxa" w:w="7632"/>
            <w:vAlign w:val="center"/>
            <w:tcBorders>
              <w:top w:val="single" w:sz="4" w:color="D9D9D9"/>
              <w:left w:val="single" w:sz="4" w:color="D9D9D9"/>
              <w:bottom w:val="single" w:sz="4" w:color="D9D9D9"/>
              <w:right w:val="single" w:sz="4" w:color="D9D9D9"/>
            </w:tcBorders>
            <w:shd w:fill="163A5F"/>
            <w:tcMar>
              <w:top w:w="90" w:type="dxa"/>
              <w:left w:w="90" w:type="dxa"/>
              <w:bottom w:w="90" w:type="dxa"/>
              <w:right w:w="90" w:type="dxa"/>
            </w:tcMar>
          </w:tcPr>
          <w:p>
            <w:pPr>
              <w:keepNext/>
              <w:spacing w:after="60"/>
            </w:pPr>
            <w:r>
              <w:rPr>
                <w:b/>
                <w:color w:val="FFFFFF"/>
                <w:sz w:val="18"/>
              </w:rPr>
              <w:t>Decisión</w:t>
            </w:r>
          </w:p>
        </w:tc>
        <w:tc>
          <w:tcPr>
            <w:tcW w:type="dxa" w:w="2304"/>
            <w:vAlign w:val="center"/>
            <w:tcBorders>
              <w:top w:val="single" w:sz="4" w:color="D9D9D9"/>
              <w:left w:val="single" w:sz="4" w:color="D9D9D9"/>
              <w:bottom w:val="single" w:sz="4" w:color="D9D9D9"/>
              <w:right w:val="single" w:sz="4" w:color="D9D9D9"/>
            </w:tcBorders>
            <w:shd w:fill="163A5F"/>
            <w:tcMar>
              <w:top w:w="90" w:type="dxa"/>
              <w:left w:w="90" w:type="dxa"/>
              <w:bottom w:w="90" w:type="dxa"/>
              <w:right w:w="90" w:type="dxa"/>
            </w:tcMar>
          </w:tcPr>
          <w:p>
            <w:pPr>
              <w:keepNext/>
              <w:spacing w:after="60"/>
            </w:pPr>
            <w:r>
              <w:rPr>
                <w:b/>
                <w:color w:val="FFFFFF"/>
                <w:sz w:val="18"/>
              </w:rPr>
              <w:t>Responsable de coordinación</w:t>
            </w:r>
          </w:p>
        </w:tc>
      </w:tr>
      <w:tr>
        <w:trPr>
          <w:cantSplit/>
          <w:cantSplit/>
          <w:cantSplit/>
          <w:cantSplit/>
          <w:cantSplit/>
        </w:trPr>
        <w:tc>
          <w:tcPr>
            <w:tcW w:type="dxa" w:w="7632"/>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Confirmar la planificación maestra y validar los avances de cada Sprint.</w:t>
            </w:r>
          </w:p>
        </w:tc>
        <w:tc>
          <w:tcPr>
            <w:tcW w:type="dxa" w:w="2304"/>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Felipe</w:t>
            </w:r>
          </w:p>
        </w:tc>
      </w:tr>
      <w:tr>
        <w:trPr>
          <w:cantSplit/>
          <w:cantSplit/>
          <w:cantSplit/>
          <w:cantSplit/>
          <w:cantSplit/>
        </w:trPr>
        <w:tc>
          <w:tcPr>
            <w:tcW w:type="dxa" w:w="76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Confirmar contraparte empresarial, precio por implementación y mantención.</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Felipe</w:t>
            </w:r>
          </w:p>
        </w:tc>
      </w:tr>
      <w:tr>
        <w:trPr>
          <w:cantSplit/>
          <w:cantSplit/>
          <w:cantSplit/>
          <w:cantSplit/>
          <w:cantSplit/>
        </w:trPr>
        <w:tc>
          <w:tcPr>
            <w:tcW w:type="dxa" w:w="7632"/>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Aprobar reglas comerciales de créditos y emisión de comprobantes.</w:t>
            </w:r>
          </w:p>
        </w:tc>
        <w:tc>
          <w:tcPr>
            <w:tcW w:type="dxa" w:w="2304"/>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Felipe con cliente</w:t>
            </w:r>
          </w:p>
        </w:tc>
      </w:tr>
      <w:tr>
        <w:trPr>
          <w:cantSplit/>
          <w:cantSplit/>
          <w:cantSplit/>
          <w:cantSplit/>
          <w:cantSplit/>
        </w:trPr>
        <w:tc>
          <w:tcPr>
            <w:tcW w:type="dxa" w:w="76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Confirmar proveedor IA, correo, hosting e integraciones.</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18"/>
              </w:rPr>
              <w:t>Alonso con Felipe</w:t>
            </w:r>
          </w:p>
        </w:tc>
      </w:tr>
      <w:tr>
        <w:trPr>
          <w:cantSplit/>
          <w:cantSplit/>
          <w:cantSplit/>
          <w:cantSplit/>
          <w:cantSplit/>
        </w:trPr>
        <w:tc>
          <w:tcPr>
            <w:tcW w:type="dxa" w:w="7632"/>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Aprobar carga de referencia y metas de rendimiento y recuperación.</w:t>
            </w:r>
          </w:p>
        </w:tc>
        <w:tc>
          <w:tcPr>
            <w:tcW w:type="dxa" w:w="2304"/>
            <w:vAlign w:val="center"/>
            <w:tcBorders>
              <w:top w:val="single" w:sz="4" w:color="D9D9D9"/>
              <w:left w:val="single" w:sz="4" w:color="D9D9D9"/>
              <w:bottom w:val="single" w:sz="4" w:color="D9D9D9"/>
              <w:right w:val="single" w:sz="4" w:color="D9D9D9"/>
            </w:tcBorders>
            <w:shd w:fill="F1F5F9"/>
            <w:tcMar>
              <w:top w:w="90" w:type="dxa"/>
              <w:left w:w="90" w:type="dxa"/>
              <w:bottom w:w="90" w:type="dxa"/>
              <w:right w:w="90" w:type="dxa"/>
            </w:tcMar>
          </w:tcPr>
          <w:p>
            <w:pPr>
              <w:keepNext/>
              <w:spacing w:after="60"/>
            </w:pPr>
            <w:r>
              <w:rPr>
                <w:b w:val="0"/>
                <w:color w:val="000000"/>
                <w:sz w:val="18"/>
              </w:rPr>
              <w:t>Franco con cliente</w:t>
            </w:r>
          </w:p>
        </w:tc>
      </w:tr>
      <w:tr>
        <w:trPr>
          <w:cantSplit/>
          <w:cantSplit/>
          <w:cantSplit/>
          <w:cantSplit/>
          <w:cantSplit/>
        </w:trPr>
        <w:tc>
          <w:tcPr>
            <w:tcW w:type="dxa" w:w="76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pPr>
            <w:r>
              <w:rPr>
                <w:b w:val="0"/>
                <w:color w:val="000000"/>
                <w:sz w:val="18"/>
              </w:rPr>
              <w:t>Validar publicación, privacidad y textos de contacto de maestros.</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pPr>
            <w:r>
              <w:rPr>
                <w:b w:val="0"/>
                <w:color w:val="000000"/>
                <w:sz w:val="18"/>
              </w:rPr>
              <w:t>Vicente con Felipe</w:t>
            </w:r>
          </w:p>
        </w:tc>
      </w:tr>
    </w:tbl>
    <w:p/>
    <w:p>
      <w:pPr>
        <w:pStyle w:val="Heading1"/>
      </w:pPr>
      <w:r>
        <w:t>Organización del proyecto</w:t>
      </w:r>
    </w:p>
    <w:p>
      <w:r>
        <w:t>SFI se organiza en tres sprints dentro de 18 semanas. El Sprint 1 incluye preparación y ecommerce; el Sprint 2, IA, inventario, Kardex, maestros, créditos y despachos; el Sprint 3, QA final, documentación y entrega. El seguimiento se realiza mediante weeklys los jueves. Las fechas se mantienen según la Carta Gantt aprobada.</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SFI  •  Especificación de Requisitos de Software SFI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