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drawing>
          <wp:inline xmlns:a="http://schemas.openxmlformats.org/drawingml/2006/main" xmlns:pic="http://schemas.openxmlformats.org/drawingml/2006/picture">
            <wp:extent cx="1325880" cy="660329"/>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1325880" cy="660329"/>
                    </a:xfrm>
                    <a:prstGeom prst="rect"/>
                  </pic:spPr>
                </pic:pic>
              </a:graphicData>
            </a:graphic>
          </wp:inline>
        </w:drawing>
      </w:r>
    </w:p>
    <w:p>
      <w:pPr>
        <w:spacing w:before="240"/>
        <w:jc w:val="center"/>
      </w:pPr>
      <w:r>
        <w:rPr>
          <w:b/>
          <w:color w:val="1F5FA8"/>
          <w:sz w:val="25"/>
        </w:rPr>
        <w:t>DOCUMENTO DE ANÁLISIS</w:t>
      </w:r>
    </w:p>
    <w:p>
      <w:pPr>
        <w:pStyle w:val="Title"/>
        <w:jc w:val="center"/>
        <w:pBdr>
          <w:bottom w:val="single" w:sz="10" w:space="8" w:color="1F5FA8"/>
        </w:pBdr>
      </w:pPr>
      <w:r>
        <w:t>Análisis de alcance del SFI</w:t>
      </w:r>
    </w:p>
    <w:p>
      <w:pPr>
        <w:spacing w:before="120"/>
        <w:jc w:val="center"/>
      </w:pPr>
      <w:r>
        <w:rPr>
          <w:i/>
          <w:color w:val="5E6B7A"/>
          <w:sz w:val="25"/>
        </w:rPr>
        <w:t>Definición de límites, entregables, exclusiones, supuestos y criterios de aceptación</w:t>
      </w:r>
    </w:p>
    <w:p>
      <w:pPr>
        <w:spacing w:before="160"/>
        <w:jc w:val="center"/>
      </w:pPr>
      <w:r>
        <w:rPr>
          <w:b/>
          <w:color w:val="0B3B75"/>
          <w:sz w:val="22"/>
        </w:rPr>
        <w:t>Proyecto Capstone | Equipo SFI</w:t>
      </w:r>
    </w:p>
    <w:p>
      <w:pPr>
        <w:jc w:val="center"/>
      </w:pPr>
      <w:r>
        <w:rPr>
          <w:color w:val="5E6B7A"/>
        </w:rPr>
        <w:t>Felipe Chávez · Vicente Palma · Alonso Urrutia · Franco Miranda</w:t>
      </w:r>
    </w:p>
    <w:p>
      <w:pPr>
        <w:jc w:val="center"/>
      </w:pPr>
      <w:r>
        <w:rPr>
          <w:color w:val="5E6B7A"/>
        </w:rPr>
        <w:t>Versión 1.0 · Actualizado al 4 de septiembre de 2026</w:t>
      </w:r>
    </w:p>
    <w:p>
      <w:r>
        <w:br w:type="page"/>
      </w:r>
    </w:p>
    <w:p>
      <w:pPr>
        <w:pStyle w:val="Heading1"/>
      </w:pPr>
      <w:r>
        <w:t>Resumen ejecutivo</w:t>
      </w:r>
    </w:p>
    <w:p>
      <w:pPr>
        <w:jc w:val="both"/>
      </w:pPr>
      <w:r>
        <w:t>El Sistema Ferretero Inteligente (SFI) es una plataforma web para el sector ferretero que busca integrar comercio electrónico, gestión de productos e inventario, ventas, pagos, asistencia inteligente y visibilidad de maestros en una solución única. El presente documento define el alcance del proyecto para distinguir con claridad qué capacidades forman parte del producto, cuáles se encuentran fuera de responsabilidad del equipo y qué condiciones deben cumplirse para considerar los entregables aceptados.</w:t>
      </w:r>
    </w:p>
    <w:p>
      <w:pPr>
        <w:jc w:val="both"/>
      </w:pPr>
      <w:r>
        <w:t>El análisis de alcance se utiliza como referencia para la planificación de los Sprints, la priorización del Product Backlog, el control de cambios y la evaluación del avance. Su objetivo principal es evitar expectativas ambiguas y mantener alineados el desarrollo técnico, la gestión académica del proyecto y la futura entrega a una empresa del rubro ferretero.</w:t>
      </w:r>
    </w:p>
    <w:p>
      <w:pPr>
        <w:pStyle w:val="Heading1"/>
      </w:pPr>
      <w:r>
        <w:t>1. Objetivo del alcance</w:t>
      </w:r>
    </w:p>
    <w:p>
      <w:pPr>
        <w:jc w:val="both"/>
      </w:pPr>
      <w:r>
        <w:t>Definir los límites funcionales y técnicos del SFI, estableciendo los componentes que serán diseñados, desarrollados, integrados, probados y documentados durante el proyecto Capstone. El alcance considera una plataforma ecommerce modular que acompaña al cliente durante su proceso de compra y agrega capacidades de asistencia mediante inteligencia artificial y promoción de maestros.</w:t>
      </w:r>
    </w:p>
    <w:p>
      <w:pPr>
        <w:pStyle w:val="Heading1"/>
      </w:pPr>
      <w:r>
        <w:t>2. Alcance incluido</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0B3B75"/>
            <w:vAlign w:val="center"/>
            <w:tcBorders>
              <w:top w:val="single" w:sz="6" w:color="B8C7D9"/>
              <w:left w:val="single" w:sz="6" w:color="B8C7D9"/>
              <w:bottom w:val="single" w:sz="6" w:color="B8C7D9"/>
              <w:right w:val="single" w:sz="6" w:color="B8C7D9"/>
            </w:tcBorders>
          </w:tcPr>
          <w:p>
            <w:r>
              <w:rPr>
                <w:b/>
                <w:color w:val="FFFFFF"/>
                <w:sz w:val="19"/>
              </w:rPr>
              <w:t>Área</w:t>
            </w:r>
          </w:p>
        </w:tc>
        <w:tc>
          <w:tcPr>
            <w:tcW w:type="dxa" w:w="3312"/>
            <w:shd w:fill="0B3B75"/>
            <w:vAlign w:val="center"/>
            <w:tcBorders>
              <w:top w:val="single" w:sz="6" w:color="B8C7D9"/>
              <w:left w:val="single" w:sz="6" w:color="B8C7D9"/>
              <w:bottom w:val="single" w:sz="6" w:color="B8C7D9"/>
              <w:right w:val="single" w:sz="6" w:color="B8C7D9"/>
            </w:tcBorders>
          </w:tcPr>
          <w:p>
            <w:r>
              <w:rPr>
                <w:b/>
                <w:color w:val="FFFFFF"/>
                <w:sz w:val="19"/>
              </w:rPr>
              <w:t>Incluido en el proyecto</w:t>
            </w:r>
          </w:p>
        </w:tc>
        <w:tc>
          <w:tcPr>
            <w:tcW w:type="dxa" w:w="3312"/>
            <w:shd w:fill="0B3B75"/>
            <w:vAlign w:val="center"/>
            <w:tcBorders>
              <w:top w:val="single" w:sz="6" w:color="B8C7D9"/>
              <w:left w:val="single" w:sz="6" w:color="B8C7D9"/>
              <w:bottom w:val="single" w:sz="6" w:color="B8C7D9"/>
              <w:right w:val="single" w:sz="6" w:color="B8C7D9"/>
            </w:tcBorders>
          </w:tcPr>
          <w:p>
            <w:r>
              <w:rPr>
                <w:b/>
                <w:color w:val="FFFFFF"/>
                <w:sz w:val="19"/>
              </w:rPr>
              <w:t>Resultado esperado</w:t>
            </w:r>
          </w:p>
        </w:tc>
      </w:tr>
      <w:tr>
        <w:tc>
          <w:tcPr>
            <w:tcW w:type="dxa" w:w="3312"/>
            <w:vAlign w:val="top"/>
            <w:tcBorders>
              <w:top w:val="single" w:sz="4" w:color="B8C7D9"/>
              <w:left w:val="single" w:sz="4" w:color="B8C7D9"/>
              <w:bottom w:val="single" w:sz="4" w:color="B8C7D9"/>
              <w:right w:val="single" w:sz="4" w:color="B8C7D9"/>
            </w:tcBorders>
          </w:tcPr>
          <w:p>
            <w:pPr>
              <w:spacing w:after="40"/>
            </w:pPr>
            <w:r>
              <w:rPr>
                <w:color w:val="1F2933"/>
                <w:sz w:val="18"/>
              </w:rPr>
              <w:t>Usuarios y acceso</w:t>
            </w:r>
          </w:p>
        </w:tc>
        <w:tc>
          <w:tcPr>
            <w:tcW w:type="dxa" w:w="3312"/>
            <w:vAlign w:val="top"/>
            <w:tcBorders>
              <w:top w:val="single" w:sz="4" w:color="B8C7D9"/>
              <w:left w:val="single" w:sz="4" w:color="B8C7D9"/>
              <w:bottom w:val="single" w:sz="4" w:color="B8C7D9"/>
              <w:right w:val="single" w:sz="4" w:color="B8C7D9"/>
            </w:tcBorders>
          </w:tcPr>
          <w:p>
            <w:pPr>
              <w:spacing w:after="40"/>
            </w:pPr>
            <w:r>
              <w:rPr>
                <w:color w:val="1F2933"/>
                <w:sz w:val="18"/>
              </w:rPr>
              <w:t>Registro, inicio de sesión, perfiles, recuperación, roles y permisos.</w:t>
            </w:r>
          </w:p>
        </w:tc>
        <w:tc>
          <w:tcPr>
            <w:tcW w:type="dxa" w:w="3312"/>
            <w:vAlign w:val="top"/>
            <w:tcBorders>
              <w:top w:val="single" w:sz="4" w:color="B8C7D9"/>
              <w:left w:val="single" w:sz="4" w:color="B8C7D9"/>
              <w:bottom w:val="single" w:sz="4" w:color="B8C7D9"/>
              <w:right w:val="single" w:sz="4" w:color="B8C7D9"/>
            </w:tcBorders>
          </w:tcPr>
          <w:p>
            <w:pPr>
              <w:spacing w:after="40"/>
            </w:pPr>
            <w:r>
              <w:rPr>
                <w:color w:val="1F2933"/>
                <w:sz w:val="18"/>
              </w:rPr>
              <w:t>Acceso controlado a funciones según tipo de usuario.</w:t>
            </w:r>
          </w:p>
        </w:tc>
      </w:tr>
      <w:tr>
        <w:tc>
          <w:tcPr>
            <w:tcW w:type="dxa" w:w="3312"/>
            <w:vAlign w:val="top"/>
            <w:shd w:fill="F6F8FB"/>
            <w:tcBorders>
              <w:top w:val="single" w:sz="4" w:color="B8C7D9"/>
              <w:left w:val="single" w:sz="4" w:color="B8C7D9"/>
              <w:bottom w:val="single" w:sz="4" w:color="B8C7D9"/>
              <w:right w:val="single" w:sz="4" w:color="B8C7D9"/>
            </w:tcBorders>
          </w:tcPr>
          <w:p>
            <w:pPr>
              <w:spacing w:after="40"/>
            </w:pPr>
            <w:r>
              <w:rPr>
                <w:color w:val="1F2933"/>
                <w:sz w:val="18"/>
              </w:rPr>
              <w:t>Catálogo y productos</w:t>
            </w:r>
          </w:p>
        </w:tc>
        <w:tc>
          <w:tcPr>
            <w:tcW w:type="dxa" w:w="3312"/>
            <w:vAlign w:val="top"/>
            <w:shd w:fill="F6F8FB"/>
            <w:tcBorders>
              <w:top w:val="single" w:sz="4" w:color="B8C7D9"/>
              <w:left w:val="single" w:sz="4" w:color="B8C7D9"/>
              <w:bottom w:val="single" w:sz="4" w:color="B8C7D9"/>
              <w:right w:val="single" w:sz="4" w:color="B8C7D9"/>
            </w:tcBorders>
          </w:tcPr>
          <w:p>
            <w:pPr>
              <w:spacing w:after="40"/>
            </w:pPr>
            <w:r>
              <w:rPr>
                <w:color w:val="1F2933"/>
                <w:sz w:val="18"/>
              </w:rPr>
              <w:t>Productos, categorías, fichas, imágenes, búsqueda, ofertas y precios.</w:t>
            </w:r>
          </w:p>
        </w:tc>
        <w:tc>
          <w:tcPr>
            <w:tcW w:type="dxa" w:w="3312"/>
            <w:vAlign w:val="top"/>
            <w:shd w:fill="F6F8FB"/>
            <w:tcBorders>
              <w:top w:val="single" w:sz="4" w:color="B8C7D9"/>
              <w:left w:val="single" w:sz="4" w:color="B8C7D9"/>
              <w:bottom w:val="single" w:sz="4" w:color="B8C7D9"/>
              <w:right w:val="single" w:sz="4" w:color="B8C7D9"/>
            </w:tcBorders>
          </w:tcPr>
          <w:p>
            <w:pPr>
              <w:spacing w:after="40"/>
            </w:pPr>
            <w:r>
              <w:rPr>
                <w:color w:val="1F2933"/>
                <w:sz w:val="18"/>
              </w:rPr>
              <w:t>Catálogo navegable y administrable.</w:t>
            </w:r>
          </w:p>
        </w:tc>
      </w:tr>
      <w:tr>
        <w:tc>
          <w:tcPr>
            <w:tcW w:type="dxa" w:w="3312"/>
            <w:vAlign w:val="top"/>
            <w:tcBorders>
              <w:top w:val="single" w:sz="4" w:color="B8C7D9"/>
              <w:left w:val="single" w:sz="4" w:color="B8C7D9"/>
              <w:bottom w:val="single" w:sz="4" w:color="B8C7D9"/>
              <w:right w:val="single" w:sz="4" w:color="B8C7D9"/>
            </w:tcBorders>
          </w:tcPr>
          <w:p>
            <w:pPr>
              <w:spacing w:after="40"/>
            </w:pPr>
            <w:r>
              <w:rPr>
                <w:color w:val="1F2933"/>
                <w:sz w:val="18"/>
              </w:rPr>
              <w:t>Inventario y proveedores</w:t>
            </w:r>
          </w:p>
        </w:tc>
        <w:tc>
          <w:tcPr>
            <w:tcW w:type="dxa" w:w="3312"/>
            <w:vAlign w:val="top"/>
            <w:tcBorders>
              <w:top w:val="single" w:sz="4" w:color="B8C7D9"/>
              <w:left w:val="single" w:sz="4" w:color="B8C7D9"/>
              <w:bottom w:val="single" w:sz="4" w:color="B8C7D9"/>
              <w:right w:val="single" w:sz="4" w:color="B8C7D9"/>
            </w:tcBorders>
          </w:tcPr>
          <w:p>
            <w:pPr>
              <w:spacing w:after="40"/>
            </w:pPr>
            <w:r>
              <w:rPr>
                <w:color w:val="1F2933"/>
                <w:sz w:val="18"/>
              </w:rPr>
              <w:t>Existencias, control de stock, proveedores, reposición y apoyo al Kardex.</w:t>
            </w:r>
          </w:p>
        </w:tc>
        <w:tc>
          <w:tcPr>
            <w:tcW w:type="dxa" w:w="3312"/>
            <w:vAlign w:val="top"/>
            <w:tcBorders>
              <w:top w:val="single" w:sz="4" w:color="B8C7D9"/>
              <w:left w:val="single" w:sz="4" w:color="B8C7D9"/>
              <w:bottom w:val="single" w:sz="4" w:color="B8C7D9"/>
              <w:right w:val="single" w:sz="4" w:color="B8C7D9"/>
            </w:tcBorders>
          </w:tcPr>
          <w:p>
            <w:pPr>
              <w:spacing w:after="40"/>
            </w:pPr>
            <w:r>
              <w:rPr>
                <w:color w:val="1F2933"/>
                <w:sz w:val="18"/>
              </w:rPr>
              <w:t>Trazabilidad básica de inventario y abastecimiento.</w:t>
            </w:r>
          </w:p>
        </w:tc>
      </w:tr>
      <w:tr>
        <w:tc>
          <w:tcPr>
            <w:tcW w:type="dxa" w:w="3312"/>
            <w:vAlign w:val="top"/>
            <w:shd w:fill="F6F8FB"/>
            <w:tcBorders>
              <w:top w:val="single" w:sz="4" w:color="B8C7D9"/>
              <w:left w:val="single" w:sz="4" w:color="B8C7D9"/>
              <w:bottom w:val="single" w:sz="4" w:color="B8C7D9"/>
              <w:right w:val="single" w:sz="4" w:color="B8C7D9"/>
            </w:tcBorders>
          </w:tcPr>
          <w:p>
            <w:pPr>
              <w:spacing w:after="40"/>
            </w:pPr>
            <w:r>
              <w:rPr>
                <w:color w:val="1F2933"/>
                <w:sz w:val="18"/>
              </w:rPr>
              <w:t>Carrito y ventas</w:t>
            </w:r>
          </w:p>
        </w:tc>
        <w:tc>
          <w:tcPr>
            <w:tcW w:type="dxa" w:w="3312"/>
            <w:vAlign w:val="top"/>
            <w:shd w:fill="F6F8FB"/>
            <w:tcBorders>
              <w:top w:val="single" w:sz="4" w:color="B8C7D9"/>
              <w:left w:val="single" w:sz="4" w:color="B8C7D9"/>
              <w:bottom w:val="single" w:sz="4" w:color="B8C7D9"/>
              <w:right w:val="single" w:sz="4" w:color="B8C7D9"/>
            </w:tcBorders>
          </w:tcPr>
          <w:p>
            <w:pPr>
              <w:spacing w:after="40"/>
            </w:pPr>
            <w:r>
              <w:rPr>
                <w:color w:val="1F2933"/>
                <w:sz w:val="18"/>
              </w:rPr>
              <w:t>Carrito, cantidades, subtotales, validación de stock, venta, boleta e historial.</w:t>
            </w:r>
          </w:p>
        </w:tc>
        <w:tc>
          <w:tcPr>
            <w:tcW w:type="dxa" w:w="3312"/>
            <w:vAlign w:val="top"/>
            <w:shd w:fill="F6F8FB"/>
            <w:tcBorders>
              <w:top w:val="single" w:sz="4" w:color="B8C7D9"/>
              <w:left w:val="single" w:sz="4" w:color="B8C7D9"/>
              <w:bottom w:val="single" w:sz="4" w:color="B8C7D9"/>
              <w:right w:val="single" w:sz="4" w:color="B8C7D9"/>
            </w:tcBorders>
          </w:tcPr>
          <w:p>
            <w:pPr>
              <w:spacing w:after="40"/>
            </w:pPr>
            <w:r>
              <w:rPr>
                <w:color w:val="1F2933"/>
                <w:sz w:val="18"/>
              </w:rPr>
              <w:t>Flujo de compra coherente desde selección hasta registro de venta.</w:t>
            </w:r>
          </w:p>
        </w:tc>
      </w:tr>
      <w:tr>
        <w:tc>
          <w:tcPr>
            <w:tcW w:type="dxa" w:w="3312"/>
            <w:vAlign w:val="top"/>
            <w:tcBorders>
              <w:top w:val="single" w:sz="4" w:color="B8C7D9"/>
              <w:left w:val="single" w:sz="4" w:color="B8C7D9"/>
              <w:bottom w:val="single" w:sz="4" w:color="B8C7D9"/>
              <w:right w:val="single" w:sz="4" w:color="B8C7D9"/>
            </w:tcBorders>
          </w:tcPr>
          <w:p>
            <w:pPr>
              <w:spacing w:after="40"/>
            </w:pPr>
            <w:r>
              <w:rPr>
                <w:color w:val="1F2933"/>
                <w:sz w:val="18"/>
              </w:rPr>
              <w:t>Pago electrónico</w:t>
            </w:r>
          </w:p>
        </w:tc>
        <w:tc>
          <w:tcPr>
            <w:tcW w:type="dxa" w:w="3312"/>
            <w:vAlign w:val="top"/>
            <w:tcBorders>
              <w:top w:val="single" w:sz="4" w:color="B8C7D9"/>
              <w:left w:val="single" w:sz="4" w:color="B8C7D9"/>
              <w:bottom w:val="single" w:sz="4" w:color="B8C7D9"/>
              <w:right w:val="single" w:sz="4" w:color="B8C7D9"/>
            </w:tcBorders>
          </w:tcPr>
          <w:p>
            <w:pPr>
              <w:spacing w:after="40"/>
            </w:pPr>
            <w:r>
              <w:rPr>
                <w:color w:val="1F2933"/>
                <w:sz w:val="18"/>
              </w:rPr>
              <w:t>Integración de pago en ambiente definido para el proyecto.</w:t>
            </w:r>
          </w:p>
        </w:tc>
        <w:tc>
          <w:tcPr>
            <w:tcW w:type="dxa" w:w="3312"/>
            <w:vAlign w:val="top"/>
            <w:tcBorders>
              <w:top w:val="single" w:sz="4" w:color="B8C7D9"/>
              <w:left w:val="single" w:sz="4" w:color="B8C7D9"/>
              <w:bottom w:val="single" w:sz="4" w:color="B8C7D9"/>
              <w:right w:val="single" w:sz="4" w:color="B8C7D9"/>
            </w:tcBorders>
          </w:tcPr>
          <w:p>
            <w:pPr>
              <w:spacing w:after="40"/>
            </w:pPr>
            <w:r>
              <w:rPr>
                <w:color w:val="1F2933"/>
                <w:sz w:val="18"/>
              </w:rPr>
              <w:t>Resultado de pago tratado por backend y asociado a la venta.</w:t>
            </w:r>
          </w:p>
        </w:tc>
      </w:tr>
      <w:tr>
        <w:tc>
          <w:tcPr>
            <w:tcW w:type="dxa" w:w="3312"/>
            <w:vAlign w:val="top"/>
            <w:shd w:fill="F6F8FB"/>
            <w:tcBorders>
              <w:top w:val="single" w:sz="4" w:color="B8C7D9"/>
              <w:left w:val="single" w:sz="4" w:color="B8C7D9"/>
              <w:bottom w:val="single" w:sz="4" w:color="B8C7D9"/>
              <w:right w:val="single" w:sz="4" w:color="B8C7D9"/>
            </w:tcBorders>
          </w:tcPr>
          <w:p>
            <w:pPr>
              <w:spacing w:after="40"/>
            </w:pPr>
            <w:r>
              <w:rPr>
                <w:color w:val="1F2933"/>
                <w:sz w:val="18"/>
              </w:rPr>
              <w:t>Inteligencia artificial</w:t>
            </w:r>
          </w:p>
        </w:tc>
        <w:tc>
          <w:tcPr>
            <w:tcW w:type="dxa" w:w="3312"/>
            <w:vAlign w:val="top"/>
            <w:shd w:fill="F6F8FB"/>
            <w:tcBorders>
              <w:top w:val="single" w:sz="4" w:color="B8C7D9"/>
              <w:left w:val="single" w:sz="4" w:color="B8C7D9"/>
              <w:bottom w:val="single" w:sz="4" w:color="B8C7D9"/>
              <w:right w:val="single" w:sz="4" w:color="B8C7D9"/>
            </w:tcBorders>
          </w:tcPr>
          <w:p>
            <w:pPr>
              <w:spacing w:after="40"/>
            </w:pPr>
            <w:r>
              <w:rPr>
                <w:color w:val="1F2933"/>
                <w:sz w:val="18"/>
              </w:rPr>
              <w:t>Orientación de proyectos, recomendaciones de materiales y funciones asistidas.</w:t>
            </w:r>
          </w:p>
        </w:tc>
        <w:tc>
          <w:tcPr>
            <w:tcW w:type="dxa" w:w="3312"/>
            <w:vAlign w:val="top"/>
            <w:shd w:fill="F6F8FB"/>
            <w:tcBorders>
              <w:top w:val="single" w:sz="4" w:color="B8C7D9"/>
              <w:left w:val="single" w:sz="4" w:color="B8C7D9"/>
              <w:bottom w:val="single" w:sz="4" w:color="B8C7D9"/>
              <w:right w:val="single" w:sz="4" w:color="B8C7D9"/>
            </w:tcBorders>
          </w:tcPr>
          <w:p>
            <w:pPr>
              <w:spacing w:after="40"/>
            </w:pPr>
            <w:r>
              <w:rPr>
                <w:color w:val="1F2933"/>
                <w:sz w:val="18"/>
              </w:rPr>
              <w:t>Apoyo a la decisión de compra sin reemplazar criterios profesionales.</w:t>
            </w:r>
          </w:p>
        </w:tc>
      </w:tr>
      <w:tr>
        <w:tc>
          <w:tcPr>
            <w:tcW w:type="dxa" w:w="3312"/>
            <w:vAlign w:val="top"/>
            <w:tcBorders>
              <w:top w:val="single" w:sz="4" w:color="B8C7D9"/>
              <w:left w:val="single" w:sz="4" w:color="B8C7D9"/>
              <w:bottom w:val="single" w:sz="4" w:color="B8C7D9"/>
              <w:right w:val="single" w:sz="4" w:color="B8C7D9"/>
            </w:tcBorders>
          </w:tcPr>
          <w:p>
            <w:pPr>
              <w:spacing w:after="40"/>
            </w:pPr>
            <w:r>
              <w:rPr>
                <w:color w:val="1F2933"/>
                <w:sz w:val="18"/>
              </w:rPr>
              <w:t>Maestros</w:t>
            </w:r>
          </w:p>
        </w:tc>
        <w:tc>
          <w:tcPr>
            <w:tcW w:type="dxa" w:w="3312"/>
            <w:vAlign w:val="top"/>
            <w:tcBorders>
              <w:top w:val="single" w:sz="4" w:color="B8C7D9"/>
              <w:left w:val="single" w:sz="4" w:color="B8C7D9"/>
              <w:bottom w:val="single" w:sz="4" w:color="B8C7D9"/>
              <w:right w:val="single" w:sz="4" w:color="B8C7D9"/>
            </w:tcBorders>
          </w:tcPr>
          <w:p>
            <w:pPr>
              <w:spacing w:after="40"/>
            </w:pPr>
            <w:r>
              <w:rPr>
                <w:color w:val="1F2933"/>
                <w:sz w:val="18"/>
              </w:rPr>
              <w:t>Perfiles, especialidades, portafolio, aprobación, créditos/visibilidad según avance.</w:t>
            </w:r>
          </w:p>
        </w:tc>
        <w:tc>
          <w:tcPr>
            <w:tcW w:type="dxa" w:w="3312"/>
            <w:vAlign w:val="top"/>
            <w:tcBorders>
              <w:top w:val="single" w:sz="4" w:color="B8C7D9"/>
              <w:left w:val="single" w:sz="4" w:color="B8C7D9"/>
              <w:bottom w:val="single" w:sz="4" w:color="B8C7D9"/>
              <w:right w:val="single" w:sz="4" w:color="B8C7D9"/>
            </w:tcBorders>
          </w:tcPr>
          <w:p>
            <w:pPr>
              <w:spacing w:after="40"/>
            </w:pPr>
            <w:r>
              <w:rPr>
                <w:color w:val="1F2933"/>
                <w:sz w:val="18"/>
              </w:rPr>
              <w:t>Espacio de promoción y consulta de profesionales dentro de la plataforma.</w:t>
            </w:r>
          </w:p>
        </w:tc>
      </w:tr>
      <w:tr>
        <w:tc>
          <w:tcPr>
            <w:tcW w:type="dxa" w:w="3312"/>
            <w:vAlign w:val="top"/>
            <w:shd w:fill="F6F8FB"/>
            <w:tcBorders>
              <w:top w:val="single" w:sz="4" w:color="B8C7D9"/>
              <w:left w:val="single" w:sz="4" w:color="B8C7D9"/>
              <w:bottom w:val="single" w:sz="4" w:color="B8C7D9"/>
              <w:right w:val="single" w:sz="4" w:color="B8C7D9"/>
            </w:tcBorders>
          </w:tcPr>
          <w:p>
            <w:pPr>
              <w:spacing w:after="40"/>
            </w:pPr>
            <w:r>
              <w:rPr>
                <w:color w:val="1F2933"/>
                <w:sz w:val="18"/>
              </w:rPr>
              <w:t>Administración</w:t>
            </w:r>
          </w:p>
        </w:tc>
        <w:tc>
          <w:tcPr>
            <w:tcW w:type="dxa" w:w="3312"/>
            <w:vAlign w:val="top"/>
            <w:shd w:fill="F6F8FB"/>
            <w:tcBorders>
              <w:top w:val="single" w:sz="4" w:color="B8C7D9"/>
              <w:left w:val="single" w:sz="4" w:color="B8C7D9"/>
              <w:bottom w:val="single" w:sz="4" w:color="B8C7D9"/>
              <w:right w:val="single" w:sz="4" w:color="B8C7D9"/>
            </w:tcBorders>
          </w:tcPr>
          <w:p>
            <w:pPr>
              <w:spacing w:after="40"/>
            </w:pPr>
            <w:r>
              <w:rPr>
                <w:color w:val="1F2933"/>
                <w:sz w:val="18"/>
              </w:rPr>
              <w:t>Gestión de información y operaciones internas según permisos.</w:t>
            </w:r>
          </w:p>
        </w:tc>
        <w:tc>
          <w:tcPr>
            <w:tcW w:type="dxa" w:w="3312"/>
            <w:vAlign w:val="top"/>
            <w:shd w:fill="F6F8FB"/>
            <w:tcBorders>
              <w:top w:val="single" w:sz="4" w:color="B8C7D9"/>
              <w:left w:val="single" w:sz="4" w:color="B8C7D9"/>
              <w:bottom w:val="single" w:sz="4" w:color="B8C7D9"/>
              <w:right w:val="single" w:sz="4" w:color="B8C7D9"/>
            </w:tcBorders>
          </w:tcPr>
          <w:p>
            <w:pPr>
              <w:spacing w:after="40"/>
            </w:pPr>
            <w:r>
              <w:rPr>
                <w:color w:val="1F2933"/>
                <w:sz w:val="18"/>
              </w:rPr>
              <w:t>Mantenimiento controlado de los principales datos del sistema.</w:t>
            </w:r>
          </w:p>
        </w:tc>
      </w:tr>
      <w:tr>
        <w:tc>
          <w:tcPr>
            <w:tcW w:type="dxa" w:w="3312"/>
            <w:vAlign w:val="top"/>
            <w:tcBorders>
              <w:top w:val="single" w:sz="4" w:color="B8C7D9"/>
              <w:left w:val="single" w:sz="4" w:color="B8C7D9"/>
              <w:bottom w:val="single" w:sz="4" w:color="B8C7D9"/>
              <w:right w:val="single" w:sz="4" w:color="B8C7D9"/>
            </w:tcBorders>
          </w:tcPr>
          <w:p>
            <w:pPr>
              <w:spacing w:after="40"/>
            </w:pPr>
            <w:r>
              <w:rPr>
                <w:color w:val="1F2933"/>
                <w:sz w:val="18"/>
              </w:rPr>
              <w:t>Calidad</w:t>
            </w:r>
          </w:p>
        </w:tc>
        <w:tc>
          <w:tcPr>
            <w:tcW w:type="dxa" w:w="3312"/>
            <w:vAlign w:val="top"/>
            <w:tcBorders>
              <w:top w:val="single" w:sz="4" w:color="B8C7D9"/>
              <w:left w:val="single" w:sz="4" w:color="B8C7D9"/>
              <w:bottom w:val="single" w:sz="4" w:color="B8C7D9"/>
              <w:right w:val="single" w:sz="4" w:color="B8C7D9"/>
            </w:tcBorders>
          </w:tcPr>
          <w:p>
            <w:pPr>
              <w:spacing w:after="40"/>
            </w:pPr>
            <w:r>
              <w:rPr>
                <w:color w:val="1F2933"/>
                <w:sz w:val="18"/>
              </w:rPr>
              <w:t>Pruebas funcionales, automatizadas y de rendimiento; registro de evidencias.</w:t>
            </w:r>
          </w:p>
        </w:tc>
        <w:tc>
          <w:tcPr>
            <w:tcW w:type="dxa" w:w="3312"/>
            <w:vAlign w:val="top"/>
            <w:tcBorders>
              <w:top w:val="single" w:sz="4" w:color="B8C7D9"/>
              <w:left w:val="single" w:sz="4" w:color="B8C7D9"/>
              <w:bottom w:val="single" w:sz="4" w:color="B8C7D9"/>
              <w:right w:val="single" w:sz="4" w:color="B8C7D9"/>
            </w:tcBorders>
          </w:tcPr>
          <w:p>
            <w:pPr>
              <w:spacing w:after="40"/>
            </w:pPr>
            <w:r>
              <w:rPr>
                <w:color w:val="1F2933"/>
                <w:sz w:val="18"/>
              </w:rPr>
              <w:t>Validación objetiva de recorridos y comportamiento del sistema.</w:t>
            </w:r>
          </w:p>
        </w:tc>
      </w:tr>
    </w:tbl>
    <w:p>
      <w:pPr>
        <w:spacing w:after="40"/>
      </w:pPr>
    </w:p>
    <w:p>
      <w:pPr>
        <w:pStyle w:val="Heading1"/>
      </w:pPr>
      <w:r>
        <w:t>3. Alcance del módulo de maestros</w:t>
      </w:r>
    </w:p>
    <w:p>
      <w:pPr>
        <w:jc w:val="both"/>
      </w:pPr>
      <w:r>
        <w:t>El módulo de maestros tiene como propósito dar visibilidad a profesionales u oficios relacionados con construcción, reparación e instalación. SFI permite registrar y mostrar información del maestro, sus especialidades y elementos de presentación que faciliten que un cliente interesado pueda conocer su perfil.</w:t>
      </w:r>
    </w:p>
    <w:tbl>
      <w:tblPr>
        <w:tblW w:type="auto" w:w="0"/>
        <w:jc w:val="center"/>
        <w:tblLook w:firstColumn="1" w:firstRow="1" w:lastColumn="0" w:lastRow="0" w:noHBand="0" w:noVBand="1" w:val="04A0"/>
      </w:tblPr>
      <w:tblGrid>
        <w:gridCol w:w="9936"/>
      </w:tblGrid>
      <w:tr>
        <w:tc>
          <w:tcPr>
            <w:tcW w:type="dxa" w:w="9936"/>
            <w:shd w:fill="FFF6D8"/>
            <w:tcBorders>
              <w:top w:val="single" w:sz="8" w:color="F2C230"/>
              <w:left w:val="single" w:sz="8" w:color="F2C230"/>
              <w:bottom w:val="single" w:sz="8" w:color="F2C230"/>
              <w:right w:val="single" w:sz="8" w:color="F2C230"/>
            </w:tcBorders>
          </w:tcPr>
          <w:p>
            <w:r>
              <w:rPr>
                <w:b/>
                <w:color w:val="0B3B75"/>
              </w:rPr>
              <w:t xml:space="preserve">Límite de responsabilidad: </w:t>
            </w:r>
            <w:r>
              <w:t>SFI no administra la contratación, negociación económica, ejecución de la obra ni garantías del servicio prestado por el maestro. Una vez establecido el contacto, cliente y maestro deberán coordinar externamente precios, condiciones, fechas, materiales, responsabilidades y desarrollo del trabajo. El equipo SFI no se responsabiliza por acuerdos, pagos, incumplimientos, daños o resultados derivados de esa relación externa.</w:t>
            </w:r>
          </w:p>
        </w:tc>
      </w:tr>
    </w:tbl>
    <w:p>
      <w:pPr>
        <w:spacing w:after="20"/>
      </w:pPr>
    </w:p>
    <w:p>
      <w:pPr>
        <w:pStyle w:val="Heading1"/>
      </w:pPr>
      <w:r>
        <w:t>4. Fuera del alcance</w:t>
      </w:r>
    </w:p>
    <w:p>
      <w:pPr>
        <w:pStyle w:val="ListBullet"/>
        <w:jc w:val="both"/>
      </w:pPr>
      <w:r>
        <w:t>Contratación formal del maestro dentro de la plataforma, agenda completa de servicios o administración del contrato entre cliente y profesional.</w:t>
      </w:r>
    </w:p>
    <w:p>
      <w:pPr>
        <w:pStyle w:val="ListBullet"/>
        <w:jc w:val="both"/>
      </w:pPr>
      <w:r>
        <w:t>Mediación de disputas entre clientes y maestros o responsabilidad sobre la calidad de las obras realizadas.</w:t>
      </w:r>
    </w:p>
    <w:p>
      <w:pPr>
        <w:pStyle w:val="ListBullet"/>
        <w:jc w:val="both"/>
      </w:pPr>
      <w:r>
        <w:t>Operación logística física de bodegas, transporte o despacho más allá del registro y seguimiento digital contemplado por el sistema.</w:t>
      </w:r>
    </w:p>
    <w:p>
      <w:pPr>
        <w:pStyle w:val="ListBullet"/>
        <w:jc w:val="both"/>
      </w:pPr>
      <w:r>
        <w:t>Integraciones corporativas no definidas o para las cuales no se entreguen credenciales, reglas o documentación técnica.</w:t>
      </w:r>
    </w:p>
    <w:p>
      <w:pPr>
        <w:pStyle w:val="ListBullet"/>
        <w:jc w:val="both"/>
      </w:pPr>
      <w:r>
        <w:t>Infraestructura productiva definitiva si el cliente no ha definido proveedor, políticas, dominio, certificados y parámetros de operación.</w:t>
      </w:r>
    </w:p>
    <w:p>
      <w:pPr>
        <w:pStyle w:val="ListBullet"/>
        <w:jc w:val="both"/>
      </w:pPr>
      <w:r>
        <w:t>Migración masiva de datos históricos no especificada dentro de los requerimientos del proyecto.</w:t>
      </w:r>
    </w:p>
    <w:p>
      <w:pPr>
        <w:pStyle w:val="ListBullet"/>
        <w:jc w:val="both"/>
      </w:pPr>
      <w:r>
        <w:t>Desarrollo de una aplicación móvil nativa independiente; la solución principal corresponde a una plataforma web.</w:t>
      </w:r>
    </w:p>
    <w:p>
      <w:pPr>
        <w:pStyle w:val="ListBullet"/>
        <w:jc w:val="both"/>
      </w:pPr>
      <w:r>
        <w:t>Decisiones técnicas o comerciales de terceros, como disponibilidad, políticas o cambios de una pasarela de pago o servicio de inteligencia artificial.</w:t>
      </w:r>
    </w:p>
    <w:p>
      <w:pPr>
        <w:pStyle w:val="Heading1"/>
      </w:pPr>
      <w:r>
        <w:t>5. Usuarios y actores relacionados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0B3B75"/>
            <w:vAlign w:val="center"/>
            <w:tcBorders>
              <w:top w:val="single" w:sz="6" w:color="B8C7D9"/>
              <w:left w:val="single" w:sz="6" w:color="B8C7D9"/>
              <w:bottom w:val="single" w:sz="6" w:color="B8C7D9"/>
              <w:right w:val="single" w:sz="6" w:color="B8C7D9"/>
            </w:tcBorders>
          </w:tcPr>
          <w:p>
            <w:r>
              <w:rPr>
                <w:b/>
                <w:color w:val="FFFFFF"/>
                <w:sz w:val="19"/>
              </w:rPr>
              <w:t>Actor</w:t>
            </w:r>
          </w:p>
        </w:tc>
        <w:tc>
          <w:tcPr>
            <w:tcW w:type="dxa" w:w="3312"/>
            <w:shd w:fill="0B3B75"/>
            <w:vAlign w:val="center"/>
            <w:tcBorders>
              <w:top w:val="single" w:sz="6" w:color="B8C7D9"/>
              <w:left w:val="single" w:sz="6" w:color="B8C7D9"/>
              <w:bottom w:val="single" w:sz="6" w:color="B8C7D9"/>
              <w:right w:val="single" w:sz="6" w:color="B8C7D9"/>
            </w:tcBorders>
          </w:tcPr>
          <w:p>
            <w:r>
              <w:rPr>
                <w:b/>
                <w:color w:val="FFFFFF"/>
                <w:sz w:val="19"/>
              </w:rPr>
              <w:t>Interacción con SFI</w:t>
            </w:r>
          </w:p>
        </w:tc>
        <w:tc>
          <w:tcPr>
            <w:tcW w:type="dxa" w:w="3312"/>
            <w:shd w:fill="0B3B75"/>
            <w:vAlign w:val="center"/>
            <w:tcBorders>
              <w:top w:val="single" w:sz="6" w:color="B8C7D9"/>
              <w:left w:val="single" w:sz="6" w:color="B8C7D9"/>
              <w:bottom w:val="single" w:sz="6" w:color="B8C7D9"/>
              <w:right w:val="single" w:sz="6" w:color="B8C7D9"/>
            </w:tcBorders>
          </w:tcPr>
          <w:p>
            <w:r>
              <w:rPr>
                <w:b/>
                <w:color w:val="FFFFFF"/>
                <w:sz w:val="19"/>
              </w:rPr>
              <w:t>Responsabilidad principal</w:t>
            </w:r>
          </w:p>
        </w:tc>
      </w:tr>
      <w:tr>
        <w:tc>
          <w:tcPr>
            <w:tcW w:type="dxa" w:w="3312"/>
            <w:vAlign w:val="top"/>
            <w:tcBorders>
              <w:top w:val="single" w:sz="4" w:color="B8C7D9"/>
              <w:left w:val="single" w:sz="4" w:color="B8C7D9"/>
              <w:bottom w:val="single" w:sz="4" w:color="B8C7D9"/>
              <w:right w:val="single" w:sz="4" w:color="B8C7D9"/>
            </w:tcBorders>
          </w:tcPr>
          <w:p>
            <w:pPr>
              <w:spacing w:after="40"/>
            </w:pPr>
            <w:r>
              <w:rPr>
                <w:color w:val="1F2933"/>
                <w:sz w:val="18"/>
              </w:rPr>
              <w:t>Cliente comprador</w:t>
            </w:r>
          </w:p>
        </w:tc>
        <w:tc>
          <w:tcPr>
            <w:tcW w:type="dxa" w:w="3312"/>
            <w:vAlign w:val="top"/>
            <w:tcBorders>
              <w:top w:val="single" w:sz="4" w:color="B8C7D9"/>
              <w:left w:val="single" w:sz="4" w:color="B8C7D9"/>
              <w:bottom w:val="single" w:sz="4" w:color="B8C7D9"/>
              <w:right w:val="single" w:sz="4" w:color="B8C7D9"/>
            </w:tcBorders>
          </w:tcPr>
          <w:p>
            <w:pPr>
              <w:spacing w:after="40"/>
            </w:pPr>
            <w:r>
              <w:rPr>
                <w:color w:val="1F2933"/>
                <w:sz w:val="18"/>
              </w:rPr>
              <w:t>Navega, consulta productos, utiliza carrito, compra y accede a funciones asistidas.</w:t>
            </w:r>
          </w:p>
        </w:tc>
        <w:tc>
          <w:tcPr>
            <w:tcW w:type="dxa" w:w="3312"/>
            <w:vAlign w:val="top"/>
            <w:tcBorders>
              <w:top w:val="single" w:sz="4" w:color="B8C7D9"/>
              <w:left w:val="single" w:sz="4" w:color="B8C7D9"/>
              <w:bottom w:val="single" w:sz="4" w:color="B8C7D9"/>
              <w:right w:val="single" w:sz="4" w:color="B8C7D9"/>
            </w:tcBorders>
          </w:tcPr>
          <w:p>
            <w:pPr>
              <w:spacing w:after="40"/>
            </w:pPr>
            <w:r>
              <w:rPr>
                <w:color w:val="1F2933"/>
                <w:sz w:val="18"/>
              </w:rPr>
              <w:t>Entregar información válida y completar correctamente sus acciones.</w:t>
            </w:r>
          </w:p>
        </w:tc>
      </w:tr>
      <w:tr>
        <w:tc>
          <w:tcPr>
            <w:tcW w:type="dxa" w:w="3312"/>
            <w:vAlign w:val="top"/>
            <w:shd w:fill="F6F8FB"/>
            <w:tcBorders>
              <w:top w:val="single" w:sz="4" w:color="B8C7D9"/>
              <w:left w:val="single" w:sz="4" w:color="B8C7D9"/>
              <w:bottom w:val="single" w:sz="4" w:color="B8C7D9"/>
              <w:right w:val="single" w:sz="4" w:color="B8C7D9"/>
            </w:tcBorders>
          </w:tcPr>
          <w:p>
            <w:pPr>
              <w:spacing w:after="40"/>
            </w:pPr>
            <w:r>
              <w:rPr>
                <w:color w:val="1F2933"/>
                <w:sz w:val="18"/>
              </w:rPr>
              <w:t>Administrador / personal de ferretería</w:t>
            </w:r>
          </w:p>
        </w:tc>
        <w:tc>
          <w:tcPr>
            <w:tcW w:type="dxa" w:w="3312"/>
            <w:vAlign w:val="top"/>
            <w:shd w:fill="F6F8FB"/>
            <w:tcBorders>
              <w:top w:val="single" w:sz="4" w:color="B8C7D9"/>
              <w:left w:val="single" w:sz="4" w:color="B8C7D9"/>
              <w:bottom w:val="single" w:sz="4" w:color="B8C7D9"/>
              <w:right w:val="single" w:sz="4" w:color="B8C7D9"/>
            </w:tcBorders>
          </w:tcPr>
          <w:p>
            <w:pPr>
              <w:spacing w:after="40"/>
            </w:pPr>
            <w:r>
              <w:rPr>
                <w:color w:val="1F2933"/>
                <w:sz w:val="18"/>
              </w:rPr>
              <w:t>Gestiona productos, stock, ventas, proveedores y estados habilitados.</w:t>
            </w:r>
          </w:p>
        </w:tc>
        <w:tc>
          <w:tcPr>
            <w:tcW w:type="dxa" w:w="3312"/>
            <w:vAlign w:val="top"/>
            <w:shd w:fill="F6F8FB"/>
            <w:tcBorders>
              <w:top w:val="single" w:sz="4" w:color="B8C7D9"/>
              <w:left w:val="single" w:sz="4" w:color="B8C7D9"/>
              <w:bottom w:val="single" w:sz="4" w:color="B8C7D9"/>
              <w:right w:val="single" w:sz="4" w:color="B8C7D9"/>
            </w:tcBorders>
          </w:tcPr>
          <w:p>
            <w:pPr>
              <w:spacing w:after="40"/>
            </w:pPr>
            <w:r>
              <w:rPr>
                <w:color w:val="1F2933"/>
                <w:sz w:val="18"/>
              </w:rPr>
              <w:t>Mantener datos comerciales y operativos actualizados.</w:t>
            </w:r>
          </w:p>
        </w:tc>
      </w:tr>
      <w:tr>
        <w:tc>
          <w:tcPr>
            <w:tcW w:type="dxa" w:w="3312"/>
            <w:vAlign w:val="top"/>
            <w:tcBorders>
              <w:top w:val="single" w:sz="4" w:color="B8C7D9"/>
              <w:left w:val="single" w:sz="4" w:color="B8C7D9"/>
              <w:bottom w:val="single" w:sz="4" w:color="B8C7D9"/>
              <w:right w:val="single" w:sz="4" w:color="B8C7D9"/>
            </w:tcBorders>
          </w:tcPr>
          <w:p>
            <w:pPr>
              <w:spacing w:after="40"/>
            </w:pPr>
            <w:r>
              <w:rPr>
                <w:color w:val="1F2933"/>
                <w:sz w:val="18"/>
              </w:rPr>
              <w:t>Maestro</w:t>
            </w:r>
          </w:p>
        </w:tc>
        <w:tc>
          <w:tcPr>
            <w:tcW w:type="dxa" w:w="3312"/>
            <w:vAlign w:val="top"/>
            <w:tcBorders>
              <w:top w:val="single" w:sz="4" w:color="B8C7D9"/>
              <w:left w:val="single" w:sz="4" w:color="B8C7D9"/>
              <w:bottom w:val="single" w:sz="4" w:color="B8C7D9"/>
              <w:right w:val="single" w:sz="4" w:color="B8C7D9"/>
            </w:tcBorders>
          </w:tcPr>
          <w:p>
            <w:pPr>
              <w:spacing w:after="40"/>
            </w:pPr>
            <w:r>
              <w:rPr>
                <w:color w:val="1F2933"/>
                <w:sz w:val="18"/>
              </w:rPr>
              <w:t>Mantiene información de perfil y presencia dentro del módulo correspondiente.</w:t>
            </w:r>
          </w:p>
        </w:tc>
        <w:tc>
          <w:tcPr>
            <w:tcW w:type="dxa" w:w="3312"/>
            <w:vAlign w:val="top"/>
            <w:tcBorders>
              <w:top w:val="single" w:sz="4" w:color="B8C7D9"/>
              <w:left w:val="single" w:sz="4" w:color="B8C7D9"/>
              <w:bottom w:val="single" w:sz="4" w:color="B8C7D9"/>
              <w:right w:val="single" w:sz="4" w:color="B8C7D9"/>
            </w:tcBorders>
          </w:tcPr>
          <w:p>
            <w:pPr>
              <w:spacing w:after="40"/>
            </w:pPr>
            <w:r>
              <w:rPr>
                <w:color w:val="1F2933"/>
                <w:sz w:val="18"/>
              </w:rPr>
              <w:t>Proporcionar antecedentes correctos y gestionar externamente cualquier acuerdo con clientes.</w:t>
            </w:r>
          </w:p>
        </w:tc>
      </w:tr>
      <w:tr>
        <w:tc>
          <w:tcPr>
            <w:tcW w:type="dxa" w:w="3312"/>
            <w:vAlign w:val="top"/>
            <w:shd w:fill="F6F8FB"/>
            <w:tcBorders>
              <w:top w:val="single" w:sz="4" w:color="B8C7D9"/>
              <w:left w:val="single" w:sz="4" w:color="B8C7D9"/>
              <w:bottom w:val="single" w:sz="4" w:color="B8C7D9"/>
              <w:right w:val="single" w:sz="4" w:color="B8C7D9"/>
            </w:tcBorders>
          </w:tcPr>
          <w:p>
            <w:pPr>
              <w:spacing w:after="40"/>
            </w:pPr>
            <w:r>
              <w:rPr>
                <w:color w:val="1F2933"/>
                <w:sz w:val="18"/>
              </w:rPr>
              <w:t>Equipo SFI</w:t>
            </w:r>
          </w:p>
        </w:tc>
        <w:tc>
          <w:tcPr>
            <w:tcW w:type="dxa" w:w="3312"/>
            <w:vAlign w:val="top"/>
            <w:shd w:fill="F6F8FB"/>
            <w:tcBorders>
              <w:top w:val="single" w:sz="4" w:color="B8C7D9"/>
              <w:left w:val="single" w:sz="4" w:color="B8C7D9"/>
              <w:bottom w:val="single" w:sz="4" w:color="B8C7D9"/>
              <w:right w:val="single" w:sz="4" w:color="B8C7D9"/>
            </w:tcBorders>
          </w:tcPr>
          <w:p>
            <w:pPr>
              <w:spacing w:after="40"/>
            </w:pPr>
            <w:r>
              <w:rPr>
                <w:color w:val="1F2933"/>
                <w:sz w:val="18"/>
              </w:rPr>
              <w:t>Diseña, desarrolla, integra, prueba y documenta la plataforma.</w:t>
            </w:r>
          </w:p>
        </w:tc>
        <w:tc>
          <w:tcPr>
            <w:tcW w:type="dxa" w:w="3312"/>
            <w:vAlign w:val="top"/>
            <w:shd w:fill="F6F8FB"/>
            <w:tcBorders>
              <w:top w:val="single" w:sz="4" w:color="B8C7D9"/>
              <w:left w:val="single" w:sz="4" w:color="B8C7D9"/>
              <w:bottom w:val="single" w:sz="4" w:color="B8C7D9"/>
              <w:right w:val="single" w:sz="4" w:color="B8C7D9"/>
            </w:tcBorders>
          </w:tcPr>
          <w:p>
            <w:pPr>
              <w:spacing w:after="40"/>
            </w:pPr>
            <w:r>
              <w:rPr>
                <w:color w:val="1F2933"/>
                <w:sz w:val="18"/>
              </w:rPr>
              <w:t>Cumplir alcance, criterios de calidad y evidencias acordadas.</w:t>
            </w:r>
          </w:p>
        </w:tc>
      </w:tr>
      <w:tr>
        <w:tc>
          <w:tcPr>
            <w:tcW w:type="dxa" w:w="3312"/>
            <w:vAlign w:val="top"/>
            <w:tcBorders>
              <w:top w:val="single" w:sz="4" w:color="B8C7D9"/>
              <w:left w:val="single" w:sz="4" w:color="B8C7D9"/>
              <w:bottom w:val="single" w:sz="4" w:color="B8C7D9"/>
              <w:right w:val="single" w:sz="4" w:color="B8C7D9"/>
            </w:tcBorders>
          </w:tcPr>
          <w:p>
            <w:pPr>
              <w:spacing w:after="40"/>
            </w:pPr>
            <w:r>
              <w:rPr>
                <w:color w:val="1F2933"/>
                <w:sz w:val="18"/>
              </w:rPr>
              <w:t>Empresa adquirente</w:t>
            </w:r>
          </w:p>
        </w:tc>
        <w:tc>
          <w:tcPr>
            <w:tcW w:type="dxa" w:w="3312"/>
            <w:vAlign w:val="top"/>
            <w:tcBorders>
              <w:top w:val="single" w:sz="4" w:color="B8C7D9"/>
              <w:left w:val="single" w:sz="4" w:color="B8C7D9"/>
              <w:bottom w:val="single" w:sz="4" w:color="B8C7D9"/>
              <w:right w:val="single" w:sz="4" w:color="B8C7D9"/>
            </w:tcBorders>
          </w:tcPr>
          <w:p>
            <w:pPr>
              <w:spacing w:after="40"/>
            </w:pPr>
            <w:r>
              <w:rPr>
                <w:color w:val="1F2933"/>
                <w:sz w:val="18"/>
              </w:rPr>
              <w:t>Define reglas, datos e integraciones productivas cuando corresponda.</w:t>
            </w:r>
          </w:p>
        </w:tc>
        <w:tc>
          <w:tcPr>
            <w:tcW w:type="dxa" w:w="3312"/>
            <w:vAlign w:val="top"/>
            <w:tcBorders>
              <w:top w:val="single" w:sz="4" w:color="B8C7D9"/>
              <w:left w:val="single" w:sz="4" w:color="B8C7D9"/>
              <w:bottom w:val="single" w:sz="4" w:color="B8C7D9"/>
              <w:right w:val="single" w:sz="4" w:color="B8C7D9"/>
            </w:tcBorders>
          </w:tcPr>
          <w:p>
            <w:pPr>
              <w:spacing w:after="40"/>
            </w:pPr>
            <w:r>
              <w:rPr>
                <w:color w:val="1F2933"/>
                <w:sz w:val="18"/>
              </w:rPr>
              <w:t>Validar requerimientos y aceptar entregables conforme a criterios establecidos.</w:t>
            </w:r>
          </w:p>
        </w:tc>
      </w:tr>
    </w:tbl>
    <w:p>
      <w:pPr>
        <w:spacing w:after="40"/>
      </w:pPr>
    </w:p>
    <w:p>
      <w:pPr>
        <w:pStyle w:val="Heading1"/>
      </w:pPr>
      <w:r>
        <w:t>6. Restricciones y supuestos</w:t>
      </w:r>
    </w:p>
    <w:p>
      <w:pPr>
        <w:pStyle w:val="ListBullet"/>
        <w:jc w:val="both"/>
      </w:pPr>
      <w:r>
        <w:t>El proyecto se ejecuta en 18 semanas, agrupadas en tres Sprints: Sprint 1 (semanas 1 a 8), Sprint 2 (semanas 9 a 14) y Sprint 3 (semanas 15 a 18).</w:t>
      </w:r>
    </w:p>
    <w:p>
      <w:pPr>
        <w:pStyle w:val="ListBullet"/>
        <w:jc w:val="both"/>
      </w:pPr>
      <w:r>
        <w:t>El trabajo se realiza por un equipo de cuatro integrantes y debe compatibilizar desarrollo con documentación y evaluaciones académicas.</w:t>
      </w:r>
    </w:p>
    <w:p>
      <w:pPr>
        <w:pStyle w:val="ListBullet"/>
        <w:jc w:val="both"/>
      </w:pPr>
      <w:r>
        <w:t>Las integraciones externas dependen de credenciales, documentación y disponibilidad de proveedores.</w:t>
      </w:r>
    </w:p>
    <w:p>
      <w:pPr>
        <w:pStyle w:val="ListBullet"/>
        <w:jc w:val="both"/>
      </w:pPr>
      <w:r>
        <w:t>Los datos utilizados durante desarrollo pueden ser de prueba y deberán reemplazarse o validarse antes de producción.</w:t>
      </w:r>
    </w:p>
    <w:p>
      <w:pPr>
        <w:pStyle w:val="ListBullet"/>
        <w:jc w:val="both"/>
      </w:pPr>
      <w:r>
        <w:t>El alcance puede ajustarse mediante priorización del Product Backlog, pero todo cambio relevante debe registrar impacto en tiempo, calidad y entregables.</w:t>
      </w:r>
    </w:p>
    <w:p>
      <w:pPr>
        <w:pStyle w:val="ListBullet"/>
        <w:jc w:val="both"/>
      </w:pPr>
      <w:r>
        <w:t>La puesta en producción requiere configuración separada del entorno local, HTTPS, respaldo, secretos seguros y políticas operativas.</w:t>
      </w:r>
    </w:p>
    <w:p>
      <w:pPr>
        <w:pStyle w:val="Heading1"/>
      </w:pPr>
      <w:r>
        <w:t>7. Criterios de aceptación del alcance</w:t>
      </w:r>
    </w:p>
    <w:p>
      <w:pPr>
        <w:pStyle w:val="ListBullet"/>
        <w:jc w:val="both"/>
      </w:pPr>
      <w:r>
        <w:t>Las funcionalidades comprometidas cumplen sus criterios de aceptación y pueden demostrarse.</w:t>
      </w:r>
    </w:p>
    <w:p>
      <w:pPr>
        <w:pStyle w:val="ListBullet"/>
        <w:jc w:val="both"/>
      </w:pPr>
      <w:r>
        <w:t>Los recorridos críticos no presentan defectos bloqueantes conocidos al momento de revisión.</w:t>
      </w:r>
    </w:p>
    <w:p>
      <w:pPr>
        <w:pStyle w:val="ListBullet"/>
        <w:jc w:val="both"/>
      </w:pPr>
      <w:r>
        <w:t>Los roles y permisos impiden accesos no autorizados a las operaciones evaluadas.</w:t>
      </w:r>
    </w:p>
    <w:p>
      <w:pPr>
        <w:pStyle w:val="ListBullet"/>
        <w:jc w:val="both"/>
      </w:pPr>
      <w:r>
        <w:t>Las integraciones implementadas manejan respuestas exitosas y escenarios de error relevantes.</w:t>
      </w:r>
    </w:p>
    <w:p>
      <w:pPr>
        <w:pStyle w:val="ListBullet"/>
        <w:jc w:val="both"/>
      </w:pPr>
      <w:r>
        <w:t>Existe evidencia de pruebas y documentación suficiente para reproducir la configuración principal.</w:t>
      </w:r>
    </w:p>
    <w:p>
      <w:pPr>
        <w:pStyle w:val="ListBullet"/>
        <w:jc w:val="both"/>
      </w:pPr>
      <w:r>
        <w:t>El incremento se encuentra integrado con el resto de la aplicación y no solamente como componente aislado.</w:t>
      </w:r>
    </w:p>
    <w:p>
      <w:pPr>
        <w:pStyle w:val="Heading1"/>
      </w:pPr>
      <w:r>
        <w:t>8. Control de cambios de alcance</w:t>
      </w:r>
    </w:p>
    <w:p>
      <w:pPr>
        <w:jc w:val="both"/>
      </w:pPr>
      <w:r>
        <w:t>Todo requerimiento nuevo debe evaluarse antes de incorporarse al Sprint. La decisión debe considerar prioridad, dependencia técnica, esfuerzo, riesgo y efecto sobre compromisos ya asumidos. Los cambios aceptados se reflejan en el Product Backlog y, cuando corresponde, en la Carta Gantt, weeklys, retrospectivas y documentación técnica.</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0B3B75"/>
            <w:vAlign w:val="center"/>
            <w:tcBorders>
              <w:top w:val="single" w:sz="6" w:color="B8C7D9"/>
              <w:left w:val="single" w:sz="6" w:color="B8C7D9"/>
              <w:bottom w:val="single" w:sz="6" w:color="B8C7D9"/>
              <w:right w:val="single" w:sz="6" w:color="B8C7D9"/>
            </w:tcBorders>
          </w:tcPr>
          <w:p>
            <w:r>
              <w:rPr>
                <w:b/>
                <w:color w:val="FFFFFF"/>
                <w:sz w:val="19"/>
              </w:rPr>
              <w:t>Tipo de cambio</w:t>
            </w:r>
          </w:p>
        </w:tc>
        <w:tc>
          <w:tcPr>
            <w:tcW w:type="dxa" w:w="4968"/>
            <w:shd w:fill="0B3B75"/>
            <w:vAlign w:val="center"/>
            <w:tcBorders>
              <w:top w:val="single" w:sz="6" w:color="B8C7D9"/>
              <w:left w:val="single" w:sz="6" w:color="B8C7D9"/>
              <w:bottom w:val="single" w:sz="6" w:color="B8C7D9"/>
              <w:right w:val="single" w:sz="6" w:color="B8C7D9"/>
            </w:tcBorders>
          </w:tcPr>
          <w:p>
            <w:r>
              <w:rPr>
                <w:b/>
                <w:color w:val="FFFFFF"/>
                <w:sz w:val="19"/>
              </w:rPr>
              <w:t>Tratamiento</w:t>
            </w:r>
          </w:p>
        </w:tc>
      </w:tr>
      <w:tr>
        <w:tc>
          <w:tcPr>
            <w:tcW w:type="dxa" w:w="4968"/>
            <w:vAlign w:val="top"/>
            <w:tcBorders>
              <w:top w:val="single" w:sz="4" w:color="B8C7D9"/>
              <w:left w:val="single" w:sz="4" w:color="B8C7D9"/>
              <w:bottom w:val="single" w:sz="4" w:color="B8C7D9"/>
              <w:right w:val="single" w:sz="4" w:color="B8C7D9"/>
            </w:tcBorders>
          </w:tcPr>
          <w:p>
            <w:pPr>
              <w:spacing w:after="40"/>
            </w:pPr>
            <w:r>
              <w:rPr>
                <w:color w:val="1F2933"/>
                <w:sz w:val="18"/>
              </w:rPr>
              <w:t>Cambio menor</w:t>
            </w:r>
          </w:p>
        </w:tc>
        <w:tc>
          <w:tcPr>
            <w:tcW w:type="dxa" w:w="4968"/>
            <w:vAlign w:val="top"/>
            <w:tcBorders>
              <w:top w:val="single" w:sz="4" w:color="B8C7D9"/>
              <w:left w:val="single" w:sz="4" w:color="B8C7D9"/>
              <w:bottom w:val="single" w:sz="4" w:color="B8C7D9"/>
              <w:right w:val="single" w:sz="4" w:color="B8C7D9"/>
            </w:tcBorders>
          </w:tcPr>
          <w:p>
            <w:pPr>
              <w:spacing w:after="40"/>
            </w:pPr>
            <w:r>
              <w:rPr>
                <w:color w:val="1F2933"/>
                <w:sz w:val="18"/>
              </w:rPr>
              <w:t>Puede incorporarse dentro del Sprint si no altera su objetivo ni compromete las pruebas o entregables planificados.</w:t>
            </w:r>
          </w:p>
        </w:tc>
      </w:tr>
      <w:tr>
        <w:tc>
          <w:tcPr>
            <w:tcW w:type="dxa" w:w="4968"/>
            <w:vAlign w:val="top"/>
            <w:shd w:fill="F6F8FB"/>
            <w:tcBorders>
              <w:top w:val="single" w:sz="4" w:color="B8C7D9"/>
              <w:left w:val="single" w:sz="4" w:color="B8C7D9"/>
              <w:bottom w:val="single" w:sz="4" w:color="B8C7D9"/>
              <w:right w:val="single" w:sz="4" w:color="B8C7D9"/>
            </w:tcBorders>
          </w:tcPr>
          <w:p>
            <w:pPr>
              <w:spacing w:after="40"/>
            </w:pPr>
            <w:r>
              <w:rPr>
                <w:color w:val="1F2933"/>
                <w:sz w:val="18"/>
              </w:rPr>
              <w:t>Cambio funcional relevante</w:t>
            </w:r>
          </w:p>
        </w:tc>
        <w:tc>
          <w:tcPr>
            <w:tcW w:type="dxa" w:w="4968"/>
            <w:vAlign w:val="top"/>
            <w:shd w:fill="F6F8FB"/>
            <w:tcBorders>
              <w:top w:val="single" w:sz="4" w:color="B8C7D9"/>
              <w:left w:val="single" w:sz="4" w:color="B8C7D9"/>
              <w:bottom w:val="single" w:sz="4" w:color="B8C7D9"/>
              <w:right w:val="single" w:sz="4" w:color="B8C7D9"/>
            </w:tcBorders>
          </w:tcPr>
          <w:p>
            <w:pPr>
              <w:spacing w:after="40"/>
            </w:pPr>
            <w:r>
              <w:rPr>
                <w:color w:val="1F2933"/>
                <w:sz w:val="18"/>
              </w:rPr>
              <w:t>Se registra y prioriza en Product Backlog; puede mover trabajo a un Sprint posterior.</w:t>
            </w:r>
          </w:p>
        </w:tc>
      </w:tr>
      <w:tr>
        <w:tc>
          <w:tcPr>
            <w:tcW w:type="dxa" w:w="4968"/>
            <w:vAlign w:val="top"/>
            <w:tcBorders>
              <w:top w:val="single" w:sz="4" w:color="B8C7D9"/>
              <w:left w:val="single" w:sz="4" w:color="B8C7D9"/>
              <w:bottom w:val="single" w:sz="4" w:color="B8C7D9"/>
              <w:right w:val="single" w:sz="4" w:color="B8C7D9"/>
            </w:tcBorders>
          </w:tcPr>
          <w:p>
            <w:pPr>
              <w:spacing w:after="40"/>
            </w:pPr>
            <w:r>
              <w:rPr>
                <w:color w:val="1F2933"/>
                <w:sz w:val="18"/>
              </w:rPr>
              <w:t>Nueva integración</w:t>
            </w:r>
          </w:p>
        </w:tc>
        <w:tc>
          <w:tcPr>
            <w:tcW w:type="dxa" w:w="4968"/>
            <w:vAlign w:val="top"/>
            <w:tcBorders>
              <w:top w:val="single" w:sz="4" w:color="B8C7D9"/>
              <w:left w:val="single" w:sz="4" w:color="B8C7D9"/>
              <w:bottom w:val="single" w:sz="4" w:color="B8C7D9"/>
              <w:right w:val="single" w:sz="4" w:color="B8C7D9"/>
            </w:tcBorders>
          </w:tcPr>
          <w:p>
            <w:pPr>
              <w:spacing w:after="40"/>
            </w:pPr>
            <w:r>
              <w:rPr>
                <w:color w:val="1F2933"/>
                <w:sz w:val="18"/>
              </w:rPr>
              <w:t>Requiere análisis técnico, credenciales, documentación del proveedor y pruebas específicas.</w:t>
            </w:r>
          </w:p>
        </w:tc>
      </w:tr>
      <w:tr>
        <w:tc>
          <w:tcPr>
            <w:tcW w:type="dxa" w:w="4968"/>
            <w:vAlign w:val="top"/>
            <w:shd w:fill="F6F8FB"/>
            <w:tcBorders>
              <w:top w:val="single" w:sz="4" w:color="B8C7D9"/>
              <w:left w:val="single" w:sz="4" w:color="B8C7D9"/>
              <w:bottom w:val="single" w:sz="4" w:color="B8C7D9"/>
              <w:right w:val="single" w:sz="4" w:color="B8C7D9"/>
            </w:tcBorders>
          </w:tcPr>
          <w:p>
            <w:pPr>
              <w:spacing w:after="40"/>
            </w:pPr>
            <w:r>
              <w:rPr>
                <w:color w:val="1F2933"/>
                <w:sz w:val="18"/>
              </w:rPr>
              <w:t>Cambio fuera de alcance</w:t>
            </w:r>
          </w:p>
        </w:tc>
        <w:tc>
          <w:tcPr>
            <w:tcW w:type="dxa" w:w="4968"/>
            <w:vAlign w:val="top"/>
            <w:shd w:fill="F6F8FB"/>
            <w:tcBorders>
              <w:top w:val="single" w:sz="4" w:color="B8C7D9"/>
              <w:left w:val="single" w:sz="4" w:color="B8C7D9"/>
              <w:bottom w:val="single" w:sz="4" w:color="B8C7D9"/>
              <w:right w:val="single" w:sz="4" w:color="B8C7D9"/>
            </w:tcBorders>
          </w:tcPr>
          <w:p>
            <w:pPr>
              <w:spacing w:after="40"/>
            </w:pPr>
            <w:r>
              <w:rPr>
                <w:color w:val="1F2933"/>
                <w:sz w:val="18"/>
              </w:rPr>
              <w:t>Se documenta como solicitud futura o ampliación; no se considera compromiso automático del proyecto actual.</w:t>
            </w:r>
          </w:p>
        </w:tc>
      </w:tr>
    </w:tbl>
    <w:p>
      <w:pPr>
        <w:spacing w:after="40"/>
      </w:pPr>
    </w:p>
    <w:p>
      <w:pPr>
        <w:pStyle w:val="Heading1"/>
      </w:pPr>
      <w:r>
        <w:t>9. Conclusión</w:t>
      </w:r>
    </w:p>
    <w:p>
      <w:pPr>
        <w:jc w:val="both"/>
      </w:pPr>
      <w:r>
        <w:t>El alcance definido permite que SFI mantenga una frontera clara entre las funciones que debe entregar como plataforma ferretera y aquellas actividades que dependen de terceros o relaciones externas. Esta definición es especialmente importante en el módulo de maestros, donde SFI actúa como medio de visibilidad y contacto, pero no como parte de la contratación o ejecución de los trabajos. El control explícito del alcance facilita priorizar los Sprints, medir avance y proteger la calidad del producto final.</w:t>
      </w:r>
    </w:p>
    <w:sectPr w:rsidR="00FC693F" w:rsidRPr="0006063C" w:rsidSect="00034616">
      <w:headerReference w:type="default" r:id="rId9"/>
      <w:footerReference w:type="default" r:id="rId10"/>
      <w:pgSz w:w="12240" w:h="15840"/>
      <w:pgMar w:top="936" w:right="1152" w:bottom="936"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7A"/>
        <w:sz w:val="18"/>
      </w:rPr>
      <w:t xml:space="preserve">Página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E6B7A"/>
        <w:sz w:val="18"/>
      </w:rPr>
      <w:t>SFI | Análisis de alcance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B3B75"/>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5FA8"/>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B3B7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0B3B7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E6B7A"/>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