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ntext"/>
    <w:p>
      <w:pPr>
        <w:pStyle w:val="Heading2"/>
      </w:pPr>
      <w:r>
        <w:t xml:space="preserve">Context</w:t>
      </w:r>
    </w:p>
    <w:p>
      <w:pPr>
        <w:pStyle w:val="FirstParagraph"/>
      </w:pPr>
      <w:r>
        <w:t xml:space="preserve">This document was produced in Session 2 on 2026-06-15 at Clark Johnson’s direction. Clark developed this framework in conversation with Martha as the conceptual spine for the Aging Transitions Workshop. The framework needed to be written up in a form the full project team could work from — not a transcript, but a coherent memo that captures the thinking behind the workshop’s structure and purpose. Content developers, the Workshop Planner, and the Librarian will all draw on this document as they develop their respective pieces. A participant-facing simplified version will be produced later, once the team has worked with the framework.</w:t>
      </w:r>
    </w:p>
    <w:p>
      <w:r>
        <w:pict>
          <v:rect style="width:0;height:1.5pt" o:hralign="center" o:hrstd="t" o:hr="t"/>
        </w:pict>
      </w:r>
    </w:p>
    <w:p>
      <w:pPr>
        <w:pStyle w:val="FirstParagraph"/>
      </w:pPr>
      <w:r>
        <w:rPr>
          <w:b/>
          <w:bCs/>
        </w:rPr>
        <w:t xml:space="preserve">Prepared by:</w:t>
      </w:r>
      <w:r>
        <w:t xml:space="preserve"> </w:t>
      </w:r>
      <w:r>
        <w:t xml:space="preserve">The Writer</w:t>
      </w:r>
      <w:r>
        <w:t xml:space="preserve"> </w:t>
      </w:r>
      <w:r>
        <w:rPr>
          <w:b/>
          <w:bCs/>
        </w:rPr>
        <w:t xml:space="preserve">Date:</w:t>
      </w:r>
      <w:r>
        <w:t xml:space="preserve"> </w:t>
      </w:r>
      <w:r>
        <w:t xml:space="preserve">2026-06-15 16:33</w:t>
      </w:r>
      <w:r>
        <w:t xml:space="preserve"> </w:t>
      </w:r>
      <w:r>
        <w:rPr>
          <w:b/>
          <w:bCs/>
        </w:rPr>
        <w:t xml:space="preserve">For:</w:t>
      </w:r>
      <w:r>
        <w:t xml:space="preserve"> </w:t>
      </w:r>
      <w:r>
        <w:t xml:space="preserve">Clark Johnson (PI), via Martha</w:t>
      </w:r>
      <w:r>
        <w:t xml:space="preserve"> </w:t>
      </w:r>
      <w:r>
        <w:rPr>
          <w:b/>
          <w:bCs/>
        </w:rPr>
        <w:t xml:space="preserve">Status:</w:t>
      </w:r>
      <w:r>
        <w:t xml:space="preserve"> </w:t>
      </w:r>
      <w:r>
        <w:t xml:space="preserve">In progress</w:t>
      </w:r>
      <w:r>
        <w:t xml:space="preserve"> </w:t>
      </w:r>
      <w:r>
        <w:rPr>
          <w:b/>
          <w:bCs/>
        </w:rPr>
        <w:t xml:space="preserve">Re:</w:t>
      </w:r>
      <w:r>
        <w:t xml:space="preserve"> </w:t>
      </w:r>
      <w:r>
        <w:t xml:space="preserve">Conceptual framework working paper — The Homeostasis Framework</w:t>
      </w:r>
    </w:p>
    <w:p>
      <w:r>
        <w:pict>
          <v:rect style="width:0;height:1.5pt" o:hralign="center" o:hrstd="t" o:hr="t"/>
        </w:pict>
      </w:r>
    </w:p>
    <w:bookmarkEnd w:id="9"/>
    <w:bookmarkStart w:id="22" w:name="X30c0fe2b0769ac9e301c6a94dab577cb8882a90"/>
    <w:p>
      <w:pPr>
        <w:pStyle w:val="Heading1"/>
      </w:pPr>
      <w:r>
        <w:t xml:space="preserve">The Homeostasis Framework: A Conceptual Map for the Arc of Decline</w:t>
      </w:r>
    </w:p>
    <w:bookmarkStart w:id="10" w:name="the-problem-this-framework-is-solving"/>
    <w:p>
      <w:pPr>
        <w:pStyle w:val="Heading2"/>
      </w:pPr>
      <w:r>
        <w:t xml:space="preserve">The Problem This Framework Is Solving</w:t>
      </w:r>
    </w:p>
    <w:p>
      <w:pPr>
        <w:pStyle w:val="FirstParagraph"/>
      </w:pPr>
      <w:r>
        <w:t xml:space="preserve">Most people who do any aging preparation at all focus on death. They write a will. They sign a durable power of attorney and a healthcare directive. Some name a trustee. If they are thorough, they consult an elder law attorney. This is useful work, and it is worth doing. But it addresses a narrow slice of the actual challenge.</w:t>
      </w:r>
    </w:p>
    <w:p>
      <w:pPr>
        <w:pStyle w:val="BodyText"/>
      </w:pPr>
      <w:r>
        <w:t xml:space="preserve">The harder problem — and the one almost nobody prepares for — is the</w:t>
      </w:r>
      <w:r>
        <w:t xml:space="preserve"> </w:t>
      </w:r>
      <w:r>
        <w:rPr>
          <w:i/>
          <w:iCs/>
        </w:rPr>
        <w:t xml:space="preserve">process</w:t>
      </w:r>
      <w:r>
        <w:t xml:space="preserve"> </w:t>
      </w:r>
      <w:r>
        <w:t xml:space="preserve">of getting there. The arc of progressively less capacity. The months and years during which a person is no longer fully independent but is not yet at the end of life. The period when ADLs become harder, when the household starts to strain, when a spouse or adult child begins carrying weight they were not prepared to carry. When a medical event changes everything overnight, or when the changes are so gradual that no one is quite sure when a threshold was crossed.</w:t>
      </w:r>
    </w:p>
    <w:p>
      <w:pPr>
        <w:pStyle w:val="BodyText"/>
      </w:pPr>
      <w:r>
        <w:t xml:space="preserve">The Aging Transitions Workshop is designed for that territory. The Homeostasis Framework is the conceptual map.</w:t>
      </w:r>
    </w:p>
    <w:p>
      <w:r>
        <w:pict>
          <v:rect style="width:0;height:1.5pt" o:hralign="center" o:hrstd="t" o:hr="t"/>
        </w:pict>
      </w:r>
    </w:p>
    <w:bookmarkEnd w:id="10"/>
    <w:bookmarkStart w:id="11" w:name="why-homeostasis"/>
    <w:p>
      <w:pPr>
        <w:pStyle w:val="Heading2"/>
      </w:pPr>
      <w:r>
        <w:t xml:space="preserve">Why</w:t>
      </w:r>
      <w:r>
        <w:t xml:space="preserve"> </w:t>
      </w:r>
      <w:r>
        <w:t xml:space="preserve">“Homeostasis”</w:t>
      </w:r>
    </w:p>
    <w:p>
      <w:pPr>
        <w:pStyle w:val="FirstParagraph"/>
      </w:pPr>
      <w:r>
        <w:t xml:space="preserve">Homeostasis is a term from medicine. In its clinical sense, it refers to the body’s systems working to maintain stable internal conditions — temperature, blood chemistry, fluid balance, and dozens of other variables that must stay within certain ranges for a person to remain alive and functional. The body is constantly making adjustments to hold that stability in the face of internal and external pressures.</w:t>
      </w:r>
    </w:p>
    <w:p>
      <w:pPr>
        <w:pStyle w:val="BodyText"/>
      </w:pPr>
      <w:r>
        <w:t xml:space="preserve">Clark is extending that concept beyond its clinical definition, applying it at two levels: the individual body, and the household. Both systems are always working to maintain stability. Both can be overwhelmed. And in both cases, when the internal capacity to self-regulate is no longer sufficient, external support must step in.</w:t>
      </w:r>
    </w:p>
    <w:p>
      <w:pPr>
        <w:pStyle w:val="BodyText"/>
      </w:pPr>
      <w:r>
        <w:t xml:space="preserve">That extension gives the framework its three tiers.</w:t>
      </w:r>
    </w:p>
    <w:p>
      <w:r>
        <w:pict>
          <v:rect style="width:0;height:1.5pt" o:hralign="center" o:hrstd="t" o:hr="t"/>
        </w:pict>
      </w:r>
    </w:p>
    <w:bookmarkEnd w:id="11"/>
    <w:bookmarkStart w:id="12" w:name="tier-1-physical-homeostasis"/>
    <w:p>
      <w:pPr>
        <w:pStyle w:val="Heading2"/>
      </w:pPr>
      <w:r>
        <w:t xml:space="preserve">Tier 1 — Physical Homeostasis</w:t>
      </w:r>
    </w:p>
    <w:p>
      <w:pPr>
        <w:pStyle w:val="FirstParagraph"/>
      </w:pPr>
      <w:r>
        <w:t xml:space="preserve">This is the most acute form, and in some ways the most intuitive. Think of a 911 call. The paramedics who respond have one immediate job: stabilize the patient. Keep her alive until she can be evaluated in a triage setting. This is homeostasis in its purest and most urgent expression — a system responding rapidly to restore stability before the situation becomes irreversible.</w:t>
      </w:r>
    </w:p>
    <w:p>
      <w:pPr>
        <w:pStyle w:val="BodyText"/>
      </w:pPr>
      <w:r>
        <w:t xml:space="preserve">It is worth pausing on one observation, even here at the most basic tier: it is ultimately the patient’s own body doing the work. The paramedics support that process — they clear an airway, they start an IV, they manage the immediate crisis — but the body’s own regulatory systems are what actually fight to survive. The paramedics are reinforcing a process that is already underway.</w:t>
      </w:r>
    </w:p>
    <w:p>
      <w:pPr>
        <w:pStyle w:val="BodyText"/>
      </w:pPr>
      <w:r>
        <w:t xml:space="preserve">This observation is not just philosophical. It sets up a dimension that runs alongside all three tiers, which we will return to below.</w:t>
      </w:r>
    </w:p>
    <w:p>
      <w:pPr>
        <w:pStyle w:val="BodyText"/>
      </w:pPr>
      <w:r>
        <w:t xml:space="preserve">Most workshop participants have thought about Tier 1, at least implicitly. What they have not thought through is what happens after stabilization — the longer arc that the other tiers describe.</w:t>
      </w:r>
    </w:p>
    <w:p>
      <w:r>
        <w:pict>
          <v:rect style="width:0;height:1.5pt" o:hralign="center" o:hrstd="t" o:hr="t"/>
        </w:pict>
      </w:r>
    </w:p>
    <w:bookmarkEnd w:id="12"/>
    <w:bookmarkStart w:id="13" w:name="X62b82e15dd3cab6f16e394d369f3da015b0ca23"/>
    <w:p>
      <w:pPr>
        <w:pStyle w:val="Heading2"/>
      </w:pPr>
      <w:r>
        <w:t xml:space="preserve">Tier 2 — Functional Homeostasis (Activities of Daily Living)</w:t>
      </w:r>
    </w:p>
    <w:p>
      <w:pPr>
        <w:pStyle w:val="FirstParagraph"/>
      </w:pPr>
      <w:r>
        <w:t xml:space="preserve">The next tier concerns Activities of Daily Living, the set of self-care functions that define basic independent living: bathing, dressing, eating, managing medications, moving around the home and community. These are not about immediate survival in the acute sense that Tier 1 is. A person does not die tonight because she cannot button her shirt. But the ability to perform ADLs is essential to a life worth living, and when that ability erodes, the consequences are serious and cumulative.</w:t>
      </w:r>
    </w:p>
    <w:p>
      <w:pPr>
        <w:pStyle w:val="BodyText"/>
      </w:pPr>
      <w:r>
        <w:t xml:space="preserve">At this tier, the individual is still the primary agent. She is making choices, taking actions, managing her own daily life. The challenge is that this capacity does not hold forever, and its decline tends to be gradual and uneven — some functions erode before others, bad days alternate with better ones, and neither the person herself nor those around her may have a clear picture of where things actually stand.</w:t>
      </w:r>
    </w:p>
    <w:p>
      <w:pPr>
        <w:pStyle w:val="BodyText"/>
      </w:pPr>
      <w:r>
        <w:t xml:space="preserve">When ADL capacity erodes significantly, others must step in. And when that happens, the question of</w:t>
      </w:r>
      <w:r>
        <w:t xml:space="preserve"> </w:t>
      </w:r>
      <w:r>
        <w:rPr>
          <w:i/>
          <w:iCs/>
        </w:rPr>
        <w:t xml:space="preserve">who</w:t>
      </w:r>
      <w:r>
        <w:t xml:space="preserve"> </w:t>
      </w:r>
      <w:r>
        <w:t xml:space="preserve">steps in, and</w:t>
      </w:r>
      <w:r>
        <w:t xml:space="preserve"> </w:t>
      </w:r>
      <w:r>
        <w:rPr>
          <w:i/>
          <w:iCs/>
        </w:rPr>
        <w:t xml:space="preserve">how</w:t>
      </w:r>
      <w:r>
        <w:t xml:space="preserve">, becomes urgent in a practical sense that most households have not thought through in advance.</w:t>
      </w:r>
    </w:p>
    <w:p>
      <w:r>
        <w:pict>
          <v:rect style="width:0;height:1.5pt" o:hralign="center" o:hrstd="t" o:hr="t"/>
        </w:pict>
      </w:r>
    </w:p>
    <w:bookmarkEnd w:id="13"/>
    <w:bookmarkStart w:id="17" w:name="tier-3-household-homeostasis"/>
    <w:p>
      <w:pPr>
        <w:pStyle w:val="Heading2"/>
      </w:pPr>
      <w:r>
        <w:t xml:space="preserve">Tier 3 — Household Homeostasis</w:t>
      </w:r>
    </w:p>
    <w:p>
      <w:pPr>
        <w:pStyle w:val="FirstParagraph"/>
      </w:pPr>
      <w:r>
        <w:t xml:space="preserve">This is the tier Clark wants the workshop to develop with the most depth, and it is where the framework makes its most distinctive contribution. The focus shifts from the individual to the household — the broader context that sustains a person’s life over the long term.</w:t>
      </w:r>
    </w:p>
    <w:p>
      <w:pPr>
        <w:pStyle w:val="BodyText"/>
      </w:pPr>
      <w:r>
        <w:t xml:space="preserve">Maintaining a household is not a single thing. It is a cluster of distinct systems, each of which must remain functional for the household to hold together. The framework identifies three pillars.</w:t>
      </w:r>
    </w:p>
    <w:bookmarkStart w:id="14" w:name="financial"/>
    <w:p>
      <w:pPr>
        <w:pStyle w:val="Heading3"/>
      </w:pPr>
      <w:r>
        <w:t xml:space="preserve">Financial</w:t>
      </w:r>
    </w:p>
    <w:p>
      <w:pPr>
        <w:pStyle w:val="FirstParagraph"/>
      </w:pPr>
      <w:r>
        <w:t xml:space="preserve">The household must remain financially viable. This sounds obvious, but its implications are far-reaching. Income, expenses, and insurance all require ongoing management — management that may become more difficult as cognitive capacity declines, as one spouse dies and income drops, or as care costs accumulate. Long-term care is expensive. Medicare does not cover most of it. Many households have not looked squarely at what their financial situation actually is, or what it would look like if one partner needed significant care for several years.</w:t>
      </w:r>
    </w:p>
    <w:p>
      <w:pPr>
        <w:pStyle w:val="BodyText"/>
      </w:pPr>
      <w:r>
        <w:t xml:space="preserve">The financial pillar is not just about whether there is money. It is about whether someone can manage the financial decisions that will need to be made, and whether that responsibility has been explicitly assigned.</w:t>
      </w:r>
    </w:p>
    <w:bookmarkEnd w:id="14"/>
    <w:bookmarkStart w:id="15" w:name="domestic"/>
    <w:p>
      <w:pPr>
        <w:pStyle w:val="Heading3"/>
      </w:pPr>
      <w:r>
        <w:t xml:space="preserve">Domestic</w:t>
      </w:r>
    </w:p>
    <w:p>
      <w:pPr>
        <w:pStyle w:val="FirstParagraph"/>
      </w:pPr>
      <w:r>
        <w:t xml:space="preserve">This pillar covers the operational fabric of daily household life: food availability and meal preparation, keeping the home orderly and clean, laundry, simple maintenance, and the ongoing tasks that make a home functional and livable. It is unglamorous work, but when it stops getting done, the household deteriorates quickly.</w:t>
      </w:r>
    </w:p>
    <w:p>
      <w:pPr>
        <w:pStyle w:val="BodyText"/>
      </w:pPr>
      <w:r>
        <w:t xml:space="preserve">A note on terminology: Clark initially considered</w:t>
      </w:r>
      <w:r>
        <w:t xml:space="preserve"> </w:t>
      </w:r>
      <w:r>
        <w:t xml:space="preserve">“Infrastructure”</w:t>
      </w:r>
      <w:r>
        <w:t xml:space="preserve"> </w:t>
      </w:r>
      <w:r>
        <w:t xml:space="preserve">as the label for this pillar but found it too narrow — infrastructure suggests the building and its systems, not the ongoing human labor of keeping a household running day to day.</w:t>
      </w:r>
      <w:r>
        <w:t xml:space="preserve"> </w:t>
      </w:r>
      <w:r>
        <w:t xml:space="preserve">“Domestic”</w:t>
      </w:r>
      <w:r>
        <w:t xml:space="preserve"> </w:t>
      </w:r>
      <w:r>
        <w:t xml:space="preserve">captures the intended meaning better.</w:t>
      </w:r>
    </w:p>
    <w:bookmarkEnd w:id="15"/>
    <w:bookmarkStart w:id="16" w:name="emotional"/>
    <w:p>
      <w:pPr>
        <w:pStyle w:val="Heading3"/>
      </w:pPr>
      <w:r>
        <w:t xml:space="preserve">Emotional</w:t>
      </w:r>
    </w:p>
    <w:p>
      <w:pPr>
        <w:pStyle w:val="FirstParagraph"/>
      </w:pPr>
      <w:r>
        <w:t xml:space="preserve">The third pillar is the relational and psychological dimension of household stability. Caregiving relationships carry significant emotional weight — for the person receiving care and for the person providing it. Isolation is common as mobility and social connection decline. Grief is often present: grief for lost capacity, lost roles, lost futures. Anxiety about what comes next. And within households, roles shift in ways that can be disorienting and difficult — a spouse who has always been cared for must now become the caregiver; an adult child must begin to parent her parent.</w:t>
      </w:r>
    </w:p>
    <w:p>
      <w:pPr>
        <w:pStyle w:val="BodyText"/>
      </w:pPr>
      <w:r>
        <w:t xml:space="preserve">None of this is managed by a will or a healthcare directive. And yet it is as real as any of the other pillars, and as consequential for whether a person can continue to live well.</w:t>
      </w:r>
    </w:p>
    <w:p>
      <w:r>
        <w:pict>
          <v:rect style="width:0;height:1.5pt" o:hralign="center" o:hrstd="t" o:hr="t"/>
        </w:pict>
      </w:r>
    </w:p>
    <w:bookmarkEnd w:id="16"/>
    <w:bookmarkEnd w:id="17"/>
    <w:bookmarkStart w:id="18" w:name="the-support-dimension"/>
    <w:p>
      <w:pPr>
        <w:pStyle w:val="Heading2"/>
      </w:pPr>
      <w:r>
        <w:t xml:space="preserve">The Support Dimension</w:t>
      </w:r>
    </w:p>
    <w:p>
      <w:pPr>
        <w:pStyle w:val="FirstParagraph"/>
      </w:pPr>
      <w:r>
        <w:t xml:space="preserve">Running alongside the three tiers is a separate but intersecting question:</w:t>
      </w:r>
      <w:r>
        <w:t xml:space="preserve"> </w:t>
      </w:r>
      <w:r>
        <w:rPr>
          <w:i/>
          <w:iCs/>
        </w:rPr>
        <w:t xml:space="preserve">who is doing this work?</w:t>
      </w:r>
    </w:p>
    <w:p>
      <w:pPr>
        <w:pStyle w:val="BodyText"/>
      </w:pPr>
      <w:r>
        <w:t xml:space="preserve">At Tier 1, the answer is primarily the body itself, supported by the emergency medical system — paramedics, triage, the hospital. The individual is largely passive; the system acts on her behalf.</w:t>
      </w:r>
    </w:p>
    <w:p>
      <w:pPr>
        <w:pStyle w:val="BodyText"/>
      </w:pPr>
      <w:r>
        <w:t xml:space="preserve">At Tier 2, the individual is the primary agent. She is the one bathing, dressing, eating, managing her own medications. The work is hers. When it stops being hers — when she can no longer reliably manage one or more ADLs — someone else must take it on.</w:t>
      </w:r>
    </w:p>
    <w:p>
      <w:pPr>
        <w:pStyle w:val="BodyText"/>
      </w:pPr>
      <w:r>
        <w:t xml:space="preserve">At Tier 3, and as Tier 2 capacity erodes, the work shifts outward. To a spouse or partner. To adult children, near or far. To neighbors and community networks. To formal care services: home health aides, meal delivery programs, transportation services. To whatever exists in the local environment and is accessible to this particular household.</w:t>
      </w:r>
    </w:p>
    <w:p>
      <w:pPr>
        <w:pStyle w:val="BodyText"/>
      </w:pPr>
      <w:r>
        <w:t xml:space="preserve">This dimension matters because the right support configuration is not generic. It is not possible to say in the abstract what someone</w:t>
      </w:r>
      <w:r>
        <w:t xml:space="preserve"> </w:t>
      </w:r>
      <w:r>
        <w:t xml:space="preserve">“should”</w:t>
      </w:r>
      <w:r>
        <w:t xml:space="preserve"> </w:t>
      </w:r>
      <w:r>
        <w:t xml:space="preserve">do. What is possible and appropriate depends entirely on who this person is, what household she lives in, what relationships she has, what resources she can draw on, and what actually exists where she lives.</w:t>
      </w:r>
    </w:p>
    <w:p>
      <w:r>
        <w:pict>
          <v:rect style="width:0;height:1.5pt" o:hralign="center" o:hrstd="t" o:hr="t"/>
        </w:pict>
      </w:r>
    </w:p>
    <w:bookmarkEnd w:id="18"/>
    <w:bookmarkStart w:id="19" w:name="the-configuration-variable"/>
    <w:p>
      <w:pPr>
        <w:pStyle w:val="Heading2"/>
      </w:pPr>
      <w:r>
        <w:t xml:space="preserve">The Configuration Variable</w:t>
      </w:r>
    </w:p>
    <w:p>
      <w:pPr>
        <w:pStyle w:val="FirstParagraph"/>
      </w:pPr>
      <w:r>
        <w:t xml:space="preserve">Every household is different. The framework applies universally — everyone is somewhere on the homeostasis arc, and everyone’s household has financial, domestic, and emotional pillars that must be maintained. But what the framework means in practice depends on a unique set of variables.</w:t>
      </w:r>
    </w:p>
    <w:p>
      <w:pPr>
        <w:pStyle w:val="BodyText"/>
      </w:pPr>
      <w:r>
        <w:t xml:space="preserve">Consider a simple scenario: a married couple, no children nearby. One spouse has a stroke. The other spouse can provide some care, but has limitations — physical strength, limited driving, her own health concerns, financial constraints, the emotional weight of a suddenly transformed relationship. They will need a spectrum of support services, and they will need to navigate that spectrum together, over a period of time that is hard to predict.</w:t>
      </w:r>
    </w:p>
    <w:p>
      <w:pPr>
        <w:pStyle w:val="BodyText"/>
      </w:pPr>
      <w:r>
        <w:t xml:space="preserve">Now add variation. Children who live in Seattle and can help intermittently, or adult children who cannot realistically help at all. A long-term care insurance policy that covers home health aides, or no such coverage. A spouse who is also showing early signs of cognitive decline. A home that needs significant modification to be safely navigable in a wheelchair. A household income that has dropped by a third because the stroke affected the higher earner.</w:t>
      </w:r>
    </w:p>
    <w:p>
      <w:pPr>
        <w:pStyle w:val="BodyText"/>
      </w:pPr>
      <w:r>
        <w:t xml:space="preserve">Each variation changes what is possible, what is at risk, and what action makes sense. The point of working through these variations is not to catalog every possible scenario. The point is that participants need a framework for thinking through</w:t>
      </w:r>
      <w:r>
        <w:t xml:space="preserve"> </w:t>
      </w:r>
      <w:r>
        <w:rPr>
          <w:i/>
          <w:iCs/>
        </w:rPr>
        <w:t xml:space="preserve">their specific configuration</w:t>
      </w:r>
      <w:r>
        <w:t xml:space="preserve"> </w:t>
      </w:r>
      <w:r>
        <w:t xml:space="preserve">— their actual household, their actual relationships, their actual resources — and then making a plan that fits.</w:t>
      </w:r>
    </w:p>
    <w:p>
      <w:pPr>
        <w:pStyle w:val="BodyText"/>
      </w:pPr>
      <w:r>
        <w:t xml:space="preserve">A generic checklist does not do this. The Homeostasis Framework is the tool for doing it.</w:t>
      </w:r>
    </w:p>
    <w:p>
      <w:r>
        <w:pict>
          <v:rect style="width:0;height:1.5pt" o:hralign="center" o:hrstd="t" o:hr="t"/>
        </w:pict>
      </w:r>
    </w:p>
    <w:bookmarkEnd w:id="19"/>
    <w:bookmarkStart w:id="20" w:name="what-this-means-for-the-workshop"/>
    <w:p>
      <w:pPr>
        <w:pStyle w:val="Heading2"/>
      </w:pPr>
      <w:r>
        <w:t xml:space="preserve">What This Means for the Workshop</w:t>
      </w:r>
    </w:p>
    <w:p>
      <w:pPr>
        <w:pStyle w:val="FirstParagraph"/>
      </w:pPr>
      <w:r>
        <w:t xml:space="preserve">Lopez Island is a small, rural island community. The ferry schedule, the distance from mainland medical services, the limited number of local service providers, the tight social fabric of a small town — all of these shape what is actually possible when someone’s homeostasis begins to fail. Generic resources from a national aging organization may be accurate in the abstract but useless in practice if the services they describe do not exist on Lopez Island or are not accessible to someone who no longer drives.</w:t>
      </w:r>
    </w:p>
    <w:p>
      <w:pPr>
        <w:pStyle w:val="BodyText"/>
      </w:pPr>
      <w:r>
        <w:t xml:space="preserve">The workshop is designed to help participants do four things:</w:t>
      </w:r>
    </w:p>
    <w:p>
      <w:pPr>
        <w:numPr>
          <w:ilvl w:val="0"/>
          <w:numId w:val="1001"/>
        </w:numPr>
      </w:pPr>
      <w:r>
        <w:rPr>
          <w:b/>
          <w:bCs/>
        </w:rPr>
        <w:t xml:space="preserve">Locate themselves on the homeostasis arc</w:t>
      </w:r>
      <w:r>
        <w:t xml:space="preserve"> </w:t>
      </w:r>
      <w:r>
        <w:t xml:space="preserve">— where are they now, and what trajectory are they on?</w:t>
      </w:r>
    </w:p>
    <w:p>
      <w:pPr>
        <w:numPr>
          <w:ilvl w:val="0"/>
          <w:numId w:val="1001"/>
        </w:numPr>
      </w:pPr>
      <w:r>
        <w:rPr>
          <w:b/>
          <w:bCs/>
        </w:rPr>
        <w:t xml:space="preserve">Understand which pillars of Household Homeostasis are most at risk</w:t>
      </w:r>
      <w:r>
        <w:t xml:space="preserve"> </w:t>
      </w:r>
      <w:r>
        <w:t xml:space="preserve">in their specific configuration — not in general, but for them.</w:t>
      </w:r>
    </w:p>
    <w:p>
      <w:pPr>
        <w:numPr>
          <w:ilvl w:val="0"/>
          <w:numId w:val="1001"/>
        </w:numPr>
      </w:pPr>
      <w:r>
        <w:rPr>
          <w:b/>
          <w:bCs/>
        </w:rPr>
        <w:t xml:space="preserve">Identify what support actually exists on Lopez Island</w:t>
      </w:r>
      <w:r>
        <w:t xml:space="preserve"> </w:t>
      </w:r>
      <w:r>
        <w:t xml:space="preserve">and in San Juan County, and understand how to access it before a crisis forces the question.</w:t>
      </w:r>
    </w:p>
    <w:p>
      <w:pPr>
        <w:numPr>
          <w:ilvl w:val="0"/>
          <w:numId w:val="1001"/>
        </w:numPr>
      </w:pPr>
      <w:r>
        <w:rPr>
          <w:b/>
          <w:bCs/>
        </w:rPr>
        <w:t xml:space="preserve">Leave with a personal action plan</w:t>
      </w:r>
      <w:r>
        <w:t xml:space="preserve"> </w:t>
      </w:r>
      <w:r>
        <w:t xml:space="preserve">that reflects their specific situation — not a generic checklist, but a set of decisions and next steps that make sense for this household.</w:t>
      </w:r>
    </w:p>
    <w:p>
      <w:pPr>
        <w:pStyle w:val="FirstParagraph"/>
      </w:pPr>
      <w:r>
        <w:t xml:space="preserve">The workshop does not promise to solve the problem of aging. It promises to give participants a clearer map of the territory they are already in, and the tools to navigate it with more intention.</w:t>
      </w:r>
    </w:p>
    <w:p>
      <w:r>
        <w:pict>
          <v:rect style="width:0;height:1.5pt" o:hralign="center" o:hrstd="t" o:hr="t"/>
        </w:pict>
      </w:r>
    </w:p>
    <w:bookmarkEnd w:id="20"/>
    <w:bookmarkStart w:id="21" w:name="X3a6e580ed8abe0f4dcf25f1c26508ca1a111f32"/>
    <w:p>
      <w:pPr>
        <w:pStyle w:val="Heading2"/>
      </w:pPr>
      <w:r>
        <w:t xml:space="preserve">A Note on Where This Fits in the Project — and an Invitation to Discuss It</w:t>
      </w:r>
    </w:p>
    <w:p>
      <w:pPr>
        <w:pStyle w:val="FirstParagraph"/>
      </w:pPr>
      <w:r>
        <w:t xml:space="preserve">This document proposes a framework, not a settled one. Before the team begins building content around it, Clark wants to open a discussion: Does this framework hold up? Are the three tiers the right divisions? Do the three pillars of Household Homeostasis — Financial, Domestic, Emotional — cover the territory, or is something missing or misplaced? Does the Support Dimension intersect with the tiers in the way described, or does that relationship need to be rethought?</w:t>
      </w:r>
    </w:p>
    <w:p>
      <w:pPr>
        <w:pStyle w:val="BodyText"/>
      </w:pPr>
      <w:r>
        <w:t xml:space="preserve">The framework feels workable, but it was developed quickly and has not yet been tested against the full range of participant situations it is meant to address. If the organizing logic is wrong, it is better to find that out now — before it shapes the content development, the resource inventory, the session design, and the participant materials.</w:t>
      </w:r>
    </w:p>
    <w:p>
      <w:pPr>
        <w:pStyle w:val="BodyText"/>
      </w:pPr>
      <w:r>
        <w:t xml:space="preserve">Team members are encouraged to bring questions, challenges, and alternative framings to Clark. The goal of this discussion is not to defend the framework but to determine whether it is the right tool for the job, and to refine it if it is not.</w:t>
      </w:r>
    </w:p>
    <w:bookmarkEnd w:id="21"/>
    <w:bookmarkEnd w:id="22"/>
    <w:sectPr w:rsidR="00CD2C16" w:rsidRPr="00CD2C16" w:rsidSect="005E5CA0">
      <w:footerReference w:type="default" r:id="rId9"/>
      <w:footnotePr>
        <w:numRestart w:val="eachSect"/>
      </w:footnotePr>
      <w:pgSz w:h="15840" w:w="12240"/>
      <w:pgMar w:bottom="1071" w:footer="720" w:gutter="0" w:header="720" w:left="1440" w:right="1440" w:top="1089"/>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panose1 w:val="020B0604020202020204"/>
    <w:charset w:val="00"/>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sz w:val="18"/>
      </w:rPr>
      <w:t>2606151633_Homeostasis_Framework_draft1.docx</w:t>
    </w:r>
    <w:r>
      <w:rPr>
        <w:sz w:val="18"/>
      </w:rPr>
      <w:tab/>
    </w:r>
    <w:r>
      <w:rPr>
        <w:sz w:val="18"/>
      </w:rPr>
      <w:fldChar w:fldCharType="begin"/>
      <w:instrText xml:space="preserve"> PAGE </w:instrText>
      <w:fldChar w:fldCharType="end"/>
    </w:r>
    <w:r>
      <w:rPr>
        <w:sz w:val="18"/>
      </w:rPr>
      <w:t xml:space="preserve"> / </w:t>
    </w:r>
    <w:r>
      <w:rPr>
        <w:sz w:val="18"/>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9AECCD1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FC8886C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493B2847"/>
    <w:multiLevelType w:val="hybridMultilevel"/>
    <w:tmpl w:val="B0CCFE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35663784" w:numId="1">
    <w:abstractNumId w:val="0"/>
  </w:num>
  <w:num w16cid:durableId="1947688820" w:numId="2">
    <w:abstractNumId w:val="0"/>
  </w:num>
  <w:num w16cid:durableId="616328264" w:numId="3">
    <w:abstractNumId w:val="1"/>
  </w:num>
  <w:num w16cid:durableId="2088305767" w:numId="4">
    <w:abstractNumId w:val="1"/>
  </w:num>
  <w:num w16cid:durableId="935480646" w:numId="5">
    <w:abstractNumId w:val="1"/>
  </w:num>
  <w:num w16cid:durableId="305475285" w:numId="6">
    <w:abstractNumId w:val="1"/>
  </w:num>
  <w:num w16cid:durableId="1865510744" w:numId="7">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7F28D1"/>
    <w:rsid w:val="000B1F43"/>
    <w:rsid w:val="001747E3"/>
    <w:rsid w:val="001C4E89"/>
    <w:rsid w:val="002F2AF9"/>
    <w:rsid w:val="00462A21"/>
    <w:rsid w:val="00472650"/>
    <w:rsid w:val="005E5CA0"/>
    <w:rsid w:val="0062071B"/>
    <w:rsid w:val="00772F83"/>
    <w:rsid w:val="007F28D1"/>
    <w:rsid w:val="00916391"/>
    <w:rsid w:val="00A712C8"/>
    <w:rsid w:val="00B44EFD"/>
    <w:rsid w:val="00B87FF1"/>
    <w:rsid w:val="00CD2C16"/>
    <w:rsid w:val="00D8133E"/>
    <w:rsid w:val="00DD1F51"/>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1C4E89"/>
    <w:pPr>
      <w:keepNext/>
      <w:keepLines/>
      <w:spacing w:after="80" w:before="360"/>
      <w:outlineLvl w:val="0"/>
    </w:pPr>
    <w:rPr>
      <w:rFonts w:asciiTheme="majorHAnsi" w:cstheme="majorBidi" w:eastAsiaTheme="majorEastAsia" w:hAnsiTheme="majorHAnsi"/>
      <w:i/>
      <w:color w:themeColor="accent1" w:themeShade="BF" w:val="0F4761"/>
      <w:sz w:val="20"/>
      <w:szCs w:val="40"/>
    </w:rPr>
  </w:style>
  <w:style w:styleId="Heading2" w:type="paragraph">
    <w:name w:val="heading 2"/>
    <w:basedOn w:val="Normal"/>
    <w:next w:val="BodyText"/>
    <w:link w:val="Heading2Char"/>
    <w:uiPriority w:val="9"/>
    <w:semiHidden/>
    <w:unhideWhenUsed/>
    <w:qFormat/>
    <w:rsid w:val="005E5CA0"/>
    <w:pPr>
      <w:keepNext/>
      <w:keepLines/>
      <w:spacing w:after="0" w:before="240"/>
      <w:outlineLvl w:val="1"/>
    </w:pPr>
    <w:rPr>
      <w:rFonts w:asciiTheme="majorHAnsi" w:cstheme="majorBidi" w:eastAsiaTheme="majorEastAsia" w:hAnsiTheme="majorHAnsi"/>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5E5CA0"/>
    <w:pPr>
      <w:spacing w:after="0" w:before="120"/>
    </w:pPr>
  </w:style>
  <w:style w:customStyle="1" w:styleId="FirstParagraph" w:type="paragraph">
    <w:name w:val="First Paragraph"/>
    <w:basedOn w:val="BodyText"/>
    <w:next w:val="BodyText"/>
    <w:qFormat/>
    <w:rsid w:val="005E5CA0"/>
    <w:pPr>
      <w:spacing w:after="120" w:before="4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1C4E89"/>
    <w:rPr>
      <w:rFonts w:asciiTheme="majorHAnsi" w:cstheme="majorBidi" w:eastAsiaTheme="majorEastAsia" w:hAnsiTheme="majorHAnsi"/>
      <w:i/>
      <w:color w:themeColor="accent1" w:themeShade="BF" w:val="0F4761"/>
      <w:sz w:val="20"/>
      <w:szCs w:val="40"/>
    </w:rPr>
  </w:style>
  <w:style w:customStyle="1" w:styleId="Heading2Char" w:type="character">
    <w:name w:val="Heading 2 Char"/>
    <w:basedOn w:val="DefaultParagraphFont"/>
    <w:link w:val="Heading2"/>
    <w:uiPriority w:val="9"/>
    <w:semiHidden/>
    <w:rsid w:val="005E5CA0"/>
    <w:rPr>
      <w:rFonts w:asciiTheme="majorHAnsi" w:cstheme="majorBidi" w:eastAsiaTheme="majorEastAsia" w:hAnsiTheme="majorHAnsi"/>
      <w:color w:themeColor="accent1" w:themeShade="BF" w:val="0F4761"/>
      <w:sz w:val="28"/>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2026-06-15T23:48:17Z</dcterms:created>
  <dcterms:modified xsi:type="dcterms:W3CDTF">2026-06-15T23:48:17Z</dcterms:modified>
</cp:coreProperties>
</file>

<file path=docProps/custom.xml><?xml version="1.0" encoding="utf-8"?>
<Properties xmlns="http://schemas.openxmlformats.org/officeDocument/2006/custom-properties" xmlns:vt="http://schemas.openxmlformats.org/officeDocument/2006/docPropsVTypes"/>
</file>