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ntext"/>
    <w:p>
      <w:pPr>
        <w:pStyle w:val="Heading2"/>
      </w:pPr>
      <w:r>
        <w:t xml:space="preserve">Context</w:t>
      </w:r>
    </w:p>
    <w:p>
      <w:pPr>
        <w:pStyle w:val="FirstParagraph"/>
      </w:pPr>
      <w:r>
        <w:t xml:space="preserve">This document was produced in Session 3 on 2026-07-01 at Clark Johnson’s direction, via Martha. Clark observed that while extensive material exists on end-of-life planning, grief, and death preparation, very little appears to exist that helps people prepare for the slow decline arc — the months and years of progressively diminishing capacity that precede death. He asked the Curriculum Researcher to verify that observation with a deep search across workshop curricula, books, organizational programs, professional training materials, and rural-specific models. The goal was to find something that could serve as a workshop design template or content spine, so the project does not build entirely from scratch. This document reports what was found and renders a candid assessment.</w:t>
      </w:r>
    </w:p>
    <w:p>
      <w:r>
        <w:pict>
          <v:rect style="width:0;height:1.5pt" o:hralign="center" o:hrstd="t" o:hr="t"/>
        </w:pict>
      </w:r>
    </w:p>
    <w:p>
      <w:pPr>
        <w:pStyle w:val="FirstParagraph"/>
      </w:pPr>
      <w:r>
        <w:rPr>
          <w:b/>
          <w:bCs/>
        </w:rPr>
        <w:t xml:space="preserve">Prepared by:</w:t>
      </w:r>
      <w:r>
        <w:t xml:space="preserve"> </w:t>
      </w:r>
      <w:r>
        <w:t xml:space="preserve">Curriculum Researcher</w:t>
      </w:r>
      <w:r>
        <w:t xml:space="preserve"> </w:t>
      </w:r>
      <w:r>
        <w:rPr>
          <w:b/>
          <w:bCs/>
        </w:rPr>
        <w:t xml:space="preserve">Date:</w:t>
      </w:r>
      <w:r>
        <w:t xml:space="preserve"> </w:t>
      </w:r>
      <w:r>
        <w:t xml:space="preserve">2026-07-01 14:43</w:t>
      </w:r>
      <w:r>
        <w:t xml:space="preserve"> </w:t>
      </w:r>
      <w:r>
        <w:rPr>
          <w:b/>
          <w:bCs/>
        </w:rPr>
        <w:t xml:space="preserve">For:</w:t>
      </w:r>
      <w:r>
        <w:t xml:space="preserve"> </w:t>
      </w:r>
      <w:r>
        <w:t xml:space="preserve">Clark Johnson (PI), via Martha</w:t>
      </w:r>
      <w:r>
        <w:t xml:space="preserve"> </w:t>
      </w:r>
      <w:r>
        <w:rPr>
          <w:b/>
          <w:bCs/>
        </w:rPr>
        <w:t xml:space="preserve">Status:</w:t>
      </w:r>
      <w:r>
        <w:t xml:space="preserve"> </w:t>
      </w:r>
      <w:r>
        <w:t xml:space="preserve">In progress</w:t>
      </w:r>
      <w:r>
        <w:t xml:space="preserve"> </w:t>
      </w:r>
      <w:r>
        <w:rPr>
          <w:b/>
          <w:bCs/>
        </w:rPr>
        <w:t xml:space="preserve">Re:</w:t>
      </w:r>
      <w:r>
        <w:t xml:space="preserve"> </w:t>
      </w:r>
      <w:r>
        <w:t xml:space="preserve">Phase 2 curriculum landscape research — existing programs for aging decline preparation</w:t>
      </w:r>
    </w:p>
    <w:p>
      <w:r>
        <w:pict>
          <v:rect style="width:0;height:1.5pt" o:hralign="center" o:hrstd="t" o:hr="t"/>
        </w:pict>
      </w:r>
    </w:p>
    <w:bookmarkEnd w:id="9"/>
    <w:bookmarkStart w:id="41" w:name="X8ef0e428b75371ec352beb56dd6bdc48c91421f"/>
    <w:p>
      <w:pPr>
        <w:pStyle w:val="Heading1"/>
      </w:pPr>
      <w:r>
        <w:t xml:space="preserve">Curriculum Landscape: Existing Programs for Aging Decline Preparation</w:t>
      </w:r>
    </w:p>
    <w:bookmarkStart w:id="10" w:name="how-to-read-this-document"/>
    <w:p>
      <w:pPr>
        <w:pStyle w:val="Heading2"/>
      </w:pPr>
      <w:r>
        <w:t xml:space="preserve">How to Read This Document</w:t>
      </w:r>
    </w:p>
    <w:p>
      <w:pPr>
        <w:pStyle w:val="FirstParagraph"/>
      </w:pPr>
      <w:r>
        <w:t xml:space="preserve">Each entry is assessed against the Homeostasis Framework’s three tiers (Physical, Functional/ADL, Household) and three pillars of Household Homeostasis (Financial, Domestic, Emotional). A</w:t>
      </w:r>
      <w:r>
        <w:t xml:space="preserve"> </w:t>
      </w:r>
      <w:r>
        <w:t xml:space="preserve">“Fit assessment”</w:t>
      </w:r>
      <w:r>
        <w:t xml:space="preserve"> </w:t>
      </w:r>
      <w:r>
        <w:t xml:space="preserve">at the end of each entry states plainly what the program covers and where it falls short relative to what this workshop needs.</w:t>
      </w:r>
    </w:p>
    <w:p>
      <w:pPr>
        <w:pStyle w:val="BodyText"/>
      </w:pPr>
      <w:r>
        <w:t xml:space="preserve">Programs are organized by category. The concluding section synthesizes across all findings.</w:t>
      </w:r>
    </w:p>
    <w:p>
      <w:r>
        <w:pict>
          <v:rect style="width:0;height:1.5pt" o:hralign="center" o:hrstd="t" o:hr="t"/>
        </w:pict>
      </w:r>
    </w:p>
    <w:bookmarkEnd w:id="10"/>
    <w:bookmarkStart w:id="17" w:name="Xf73cc3372ea34af463150119a5047bd2fc8c842"/>
    <w:p>
      <w:pPr>
        <w:pStyle w:val="Heading2"/>
      </w:pPr>
      <w:r>
        <w:t xml:space="preserve">Category 1: Workshop Curricula and Facilitator Guides</w:t>
      </w:r>
    </w:p>
    <w:bookmarkStart w:id="11" w:name="X5a831891a91a31b130906beefdc54733350f594"/>
    <w:p>
      <w:pPr>
        <w:pStyle w:val="Heading3"/>
      </w:pPr>
      <w:r>
        <w:t xml:space="preserve">1. New River Valley Aging in Place Workbook and Facilitation Guide</w:t>
      </w:r>
    </w:p>
    <w:p>
      <w:pPr>
        <w:pStyle w:val="FirstParagraph"/>
      </w:pPr>
      <w:r>
        <w:rPr>
          <w:b/>
          <w:bCs/>
        </w:rPr>
        <w:t xml:space="preserve">Source organization:</w:t>
      </w:r>
      <w:r>
        <w:t xml:space="preserve"> </w:t>
      </w:r>
      <w:r>
        <w:t xml:space="preserve">New River Valley Area Agency on Aging (Blacksburg, Virginia), produced in partnership with local government and community foundation partners</w:t>
      </w:r>
    </w:p>
    <w:p>
      <w:pPr>
        <w:pStyle w:val="BodyText"/>
      </w:pPr>
      <w:r>
        <w:rPr>
          <w:b/>
          <w:bCs/>
        </w:rPr>
        <w:t xml:space="preserve">Target audience:</w:t>
      </w:r>
      <w:r>
        <w:t xml:space="preserve"> </w:t>
      </w:r>
      <w:r>
        <w:t xml:space="preserve">Aging adults and family members; designed for either individual use or group workshop facilitation</w:t>
      </w:r>
    </w:p>
    <w:p>
      <w:pPr>
        <w:pStyle w:val="BodyText"/>
      </w:pPr>
      <w:r>
        <w:rPr>
          <w:b/>
          <w:bCs/>
        </w:rPr>
        <w:t xml:space="preserve">Scope:</w:t>
      </w:r>
      <w:r>
        <w:t xml:space="preserve"> </w:t>
      </w:r>
      <w:r>
        <w:t xml:space="preserve">Five topic areas — housing, health and wellness, transportation, personal finance, and social connections and growth. The workbook includes probing questions, checklists, planning tools, and links to resources. An accompanying facilitation guide supports group workshop delivery. A video series introduces each topic.</w:t>
      </w:r>
    </w:p>
    <w:p>
      <w:pPr>
        <w:pStyle w:val="BodyText"/>
      </w:pPr>
      <w:r>
        <w:rPr>
          <w:b/>
          <w:bCs/>
        </w:rPr>
        <w:t xml:space="preserve">Format:</w:t>
      </w:r>
      <w:r>
        <w:t xml:space="preserve"> </w:t>
      </w:r>
      <w:r>
        <w:t xml:space="preserve">Free-to-download workbook (PDF) and facilitation guide; designed for group sessions with a trained facilitator. Available at https://www.nrvaoa.org/aging-in-place/</w:t>
      </w:r>
    </w:p>
    <w:p>
      <w:pPr>
        <w:pStyle w:val="BodyText"/>
      </w:pPr>
      <w:r>
        <w:rPr>
          <w:b/>
          <w:bCs/>
        </w:rPr>
        <w:t xml:space="preserve">Availability:</w:t>
      </w:r>
      <w:r>
        <w:t xml:space="preserve"> </w:t>
      </w:r>
      <w:r>
        <w:t xml:space="preserve">Freely available for download and use at no cost for educational purposes. No licensing or facilitator training required.</w:t>
      </w:r>
    </w:p>
    <w:p>
      <w:pPr>
        <w:pStyle w:val="BodyText"/>
      </w:pPr>
      <w:r>
        <w:rPr>
          <w:b/>
          <w:bCs/>
        </w:rPr>
        <w:t xml:space="preserve">Fit assessment:</w:t>
      </w:r>
      <w:r>
        <w:t xml:space="preserve"> </w:t>
      </w:r>
      <w:r>
        <w:t xml:space="preserve">This is the most structurally usable item found. It is organized for group workshop delivery, it is aimed at aging adults themselves (not just caregivers), and it covers domains that map onto two of the three Household Homeostasis pillars: Financial and, to a lesser extent, Domestic (through housing). The social connections section touches the Emotional pillar.</w:t>
      </w:r>
    </w:p>
    <w:p>
      <w:pPr>
        <w:pStyle w:val="BodyText"/>
      </w:pPr>
      <w:r>
        <w:t xml:space="preserve">However, the workbook treats its five topics as separate planning inventories rather than as interconnected systems that must hold together under the stress of functional decline. There is no arc — no sense of trajectory, no attention to where a person is on the decline curve or what happens as capacity erodes. The Emotional pillar (caregiving relationships, role shifts, grief, isolation) is thin. There is no coverage of trigger recognition, the support dimension, or how to build a support configuration appropriate to a specific household. The program would need substantial content revision to serve as the spine for the Aging Transitions Workshop, but its format — workbook plus facilitation guide, organized around household domains — is a useful structural model.</w:t>
      </w:r>
    </w:p>
    <w:p>
      <w:r>
        <w:pict>
          <v:rect style="width:0;height:1.5pt" o:hralign="center" o:hrstd="t" o:hr="t"/>
        </w:pict>
      </w:r>
    </w:p>
    <w:bookmarkEnd w:id="11"/>
    <w:bookmarkStart w:id="12" w:name="aging-mastery-program-amp"/>
    <w:p>
      <w:pPr>
        <w:pStyle w:val="Heading3"/>
      </w:pPr>
      <w:r>
        <w:t xml:space="preserve">2. Aging Mastery Program (AMP)</w:t>
      </w:r>
    </w:p>
    <w:p>
      <w:pPr>
        <w:pStyle w:val="FirstParagraph"/>
      </w:pPr>
      <w:r>
        <w:rPr>
          <w:b/>
          <w:bCs/>
        </w:rPr>
        <w:t xml:space="preserve">Source organization:</w:t>
      </w:r>
      <w:r>
        <w:t xml:space="preserve"> </w:t>
      </w:r>
      <w:r>
        <w:t xml:space="preserve">National Council on Aging (NCOA)</w:t>
      </w:r>
    </w:p>
    <w:p>
      <w:pPr>
        <w:pStyle w:val="BodyText"/>
      </w:pPr>
      <w:r>
        <w:rPr>
          <w:b/>
          <w:bCs/>
        </w:rPr>
        <w:t xml:space="preserve">Target audience:</w:t>
      </w:r>
      <w:r>
        <w:t xml:space="preserve"> </w:t>
      </w:r>
      <w:r>
        <w:t xml:space="preserve">Older adults (self-directed; participants are the aging adults themselves, not caregivers)</w:t>
      </w:r>
    </w:p>
    <w:p>
      <w:pPr>
        <w:pStyle w:val="BodyText"/>
      </w:pPr>
      <w:r>
        <w:rPr>
          <w:b/>
          <w:bCs/>
        </w:rPr>
        <w:t xml:space="preserve">Scope:</w:t>
      </w:r>
      <w:r>
        <w:t xml:space="preserve"> </w:t>
      </w:r>
      <w:r>
        <w:t xml:space="preserve">Ten weekly two-hour sessions: (1) Navigating Longer Lives, (2) Exercise and You, (3) Sleep, (4) Healthy Eating and Hydration, (5) Financial Fitness, (6) Advance Care Planning, (7) Healthy Relationships, (8) Medication Management, (9) Community Engagement, (10) Falls Prevention. Ten elective follow-on classes also existed (covering home safety, memory, patient-provider communication, and other topics).</w:t>
      </w:r>
    </w:p>
    <w:p>
      <w:pPr>
        <w:pStyle w:val="BodyText"/>
      </w:pPr>
      <w:r>
        <w:rPr>
          <w:b/>
          <w:bCs/>
        </w:rPr>
        <w:t xml:space="preserve">Format:</w:t>
      </w:r>
      <w:r>
        <w:t xml:space="preserve"> </w:t>
      </w:r>
      <w:r>
        <w:t xml:space="preserve">Multi-session group workshop; trained facilitator model; peer interaction emphasized; 20–25 participants per cohort.</w:t>
      </w:r>
    </w:p>
    <w:p>
      <w:pPr>
        <w:pStyle w:val="BodyText"/>
      </w:pPr>
      <w:r>
        <w:rPr>
          <w:b/>
          <w:bCs/>
        </w:rPr>
        <w:t xml:space="preserve">Availability:</w:t>
      </w:r>
      <w:r>
        <w:t xml:space="preserve"> </w:t>
      </w:r>
      <w:r>
        <w:t xml:space="preserve">Program was retired by NCOA as of early 2025. NCOA’s own website now uses past tense (</w:t>
      </w:r>
      <w:r>
        <w:t xml:space="preserve">“What</w:t>
      </w:r>
      <w:r>
        <w:t xml:space="preserve"> </w:t>
      </w:r>
      <w:r>
        <w:rPr>
          <w:i/>
          <w:iCs/>
        </w:rPr>
        <w:t xml:space="preserve">was</w:t>
      </w:r>
      <w:r>
        <w:t xml:space="preserve"> </w:t>
      </w:r>
      <w:r>
        <w:t xml:space="preserve">the Aging Mastery Program®?”</w:t>
      </w:r>
      <w:r>
        <w:t xml:space="preserve">). Some local senior centers may still offer it under prior licensing agreements, but NCOA is no longer supporting or expanding it.</w:t>
      </w:r>
    </w:p>
    <w:p>
      <w:pPr>
        <w:pStyle w:val="BodyText"/>
      </w:pPr>
      <w:r>
        <w:rPr>
          <w:b/>
          <w:bCs/>
        </w:rPr>
        <w:t xml:space="preserve">Fit assessment:</w:t>
      </w:r>
      <w:r>
        <w:t xml:space="preserve"> </w:t>
      </w:r>
      <w:r>
        <w:t xml:space="preserve">AMP was the closest existing model to what the Aging Transitions Workshop is attempting. It was designed for older adults themselves, covered financial fitness and healthy relationships (two Homeostasis pillars), and used a multi-session group format with peer discussion. It demonstrated that older adults will engage with a structured multi-session curriculum covering these domains.</w:t>
      </w:r>
    </w:p>
    <w:p>
      <w:pPr>
        <w:pStyle w:val="BodyText"/>
      </w:pPr>
      <w:r>
        <w:t xml:space="preserve">Its limitations were real: AMP was a healthy lifestyle and behavior-change program, not a decline preparation program. Session 6 (Advance Care Planning) almost certainly focused on end-of-life directives rather than the operational arc of household sustainability. The program did not map the decline trajectory, did not address the Domestic pillar (household operational fabric), did not cover HIPAA information sharing or support network configuration, and had no rural or geographically specific adaptation. It is nevertheless useful as proof of concept and as a topic-list reference.</w:t>
      </w:r>
    </w:p>
    <w:p>
      <w:pPr>
        <w:pStyle w:val="BodyText"/>
      </w:pPr>
      <w:r>
        <w:t xml:space="preserve">Its retirement is a significant gap: it means the closest older-adult-facing program in this space no longer has active organizational support.</w:t>
      </w:r>
    </w:p>
    <w:p>
      <w:r>
        <w:pict>
          <v:rect style="width:0;height:1.5pt" o:hralign="center" o:hrstd="t" o:hr="t"/>
        </w:pict>
      </w:r>
    </w:p>
    <w:bookmarkEnd w:id="12"/>
    <w:bookmarkStart w:id="13" w:name="powerful-tools-for-caregivers"/>
    <w:p>
      <w:pPr>
        <w:pStyle w:val="Heading3"/>
      </w:pPr>
      <w:r>
        <w:t xml:space="preserve">3. Powerful Tools for Caregivers</w:t>
      </w:r>
    </w:p>
    <w:p>
      <w:pPr>
        <w:pStyle w:val="FirstParagraph"/>
      </w:pPr>
      <w:r>
        <w:rPr>
          <w:b/>
          <w:bCs/>
        </w:rPr>
        <w:t xml:space="preserve">Source organization:</w:t>
      </w:r>
      <w:r>
        <w:t xml:space="preserve"> </w:t>
      </w:r>
      <w:r>
        <w:t xml:space="preserve">Oregon Health &amp; Science University; widely licensed through NCOA and state-level aging networks; evidence-based classification from Administration for Community Living</w:t>
      </w:r>
    </w:p>
    <w:p>
      <w:pPr>
        <w:pStyle w:val="BodyText"/>
      </w:pPr>
      <w:r>
        <w:rPr>
          <w:b/>
          <w:bCs/>
        </w:rPr>
        <w:t xml:space="preserve">Target audience:</w:t>
      </w:r>
      <w:r>
        <w:t xml:space="preserve"> </w:t>
      </w:r>
      <w:r>
        <w:t xml:space="preserve">Family caregivers of older adults (not the aging adults themselves)</w:t>
      </w:r>
    </w:p>
    <w:p>
      <w:pPr>
        <w:pStyle w:val="BodyText"/>
      </w:pPr>
      <w:r>
        <w:rPr>
          <w:b/>
          <w:bCs/>
        </w:rPr>
        <w:t xml:space="preserve">Scope:</w:t>
      </w:r>
      <w:r>
        <w:t xml:space="preserve"> </w:t>
      </w:r>
      <w:r>
        <w:t xml:space="preserve">Six weekly 90-minute sessions covering: stress identification and management, self-care, changing negative self-talk, communication skills (including</w:t>
      </w:r>
      <w:r>
        <w:t xml:space="preserve"> </w:t>
      </w:r>
      <w:r>
        <w:t xml:space="preserve">“I”</w:t>
      </w:r>
      <w:r>
        <w:t xml:space="preserve"> </w:t>
      </w:r>
      <w:r>
        <w:t xml:space="preserve">messages and assertiveness), managing difficult emotions, and making tough caregiving decisions. Participants receive The Caregiver Helpbook. Available in English, French, Korean, and Spanish.</w:t>
      </w:r>
    </w:p>
    <w:p>
      <w:pPr>
        <w:pStyle w:val="BodyText"/>
      </w:pPr>
      <w:r>
        <w:rPr>
          <w:b/>
          <w:bCs/>
        </w:rPr>
        <w:t xml:space="preserve">Format:</w:t>
      </w:r>
      <w:r>
        <w:t xml:space="preserve"> </w:t>
      </w:r>
      <w:r>
        <w:t xml:space="preserve">Group workshop; trained facilitator model; scripted curriculum; 8–15 participants. Widely available through Area Agencies on Aging, senior centers, and extension services.</w:t>
      </w:r>
    </w:p>
    <w:p>
      <w:pPr>
        <w:pStyle w:val="BodyText"/>
      </w:pPr>
      <w:r>
        <w:rPr>
          <w:b/>
          <w:bCs/>
        </w:rPr>
        <w:t xml:space="preserve">Availability:</w:t>
      </w:r>
      <w:r>
        <w:t xml:space="preserve"> </w:t>
      </w:r>
      <w:r>
        <w:t xml:space="preserve">Actively maintained; widely offered nationally. Training and licensing through powerfultoolsforcaregivers.org.</w:t>
      </w:r>
    </w:p>
    <w:p>
      <w:pPr>
        <w:pStyle w:val="BodyText"/>
      </w:pPr>
      <w:r>
        <w:rPr>
          <w:b/>
          <w:bCs/>
        </w:rPr>
        <w:t xml:space="preserve">Fit assessment:</w:t>
      </w:r>
      <w:r>
        <w:t xml:space="preserve"> </w:t>
      </w:r>
      <w:r>
        <w:t xml:space="preserve">Well-designed program, but for the wrong audience. It helps caregivers manage the emotional and psychological weight of caregiving after decline has become apparent. It does not help aging adults themselves anticipate, prepare for, or plan around the arc of functional decline. Financial sustainability, domestic household management, HIPAA authorization, and support network configuration are not covered. The emotional dimension of caregiving is well-addressed — that content, particularly the stress management and communication modules, could inform session design for the Emotional pillar. But Powerful Tools for Caregivers is not a template for the Aging Transitions Workshop.</w:t>
      </w:r>
    </w:p>
    <w:p>
      <w:r>
        <w:pict>
          <v:rect style="width:0;height:1.5pt" o:hralign="center" o:hrstd="t" o:hr="t"/>
        </w:pict>
      </w:r>
    </w:p>
    <w:bookmarkEnd w:id="13"/>
    <w:bookmarkStart w:id="14" w:name="building-better-caregivers"/>
    <w:p>
      <w:pPr>
        <w:pStyle w:val="Heading3"/>
      </w:pPr>
      <w:r>
        <w:t xml:space="preserve">4. Building Better Caregivers</w:t>
      </w:r>
    </w:p>
    <w:p>
      <w:pPr>
        <w:pStyle w:val="FirstParagraph"/>
      </w:pPr>
      <w:r>
        <w:rPr>
          <w:b/>
          <w:bCs/>
        </w:rPr>
        <w:t xml:space="preserve">Source organization:</w:t>
      </w:r>
      <w:r>
        <w:t xml:space="preserve"> </w:t>
      </w:r>
      <w:r>
        <w:t xml:space="preserve">Stanford Patient Education Research Center; adopted by the VA Caregiver Support Program and state aging networks</w:t>
      </w:r>
    </w:p>
    <w:p>
      <w:pPr>
        <w:pStyle w:val="BodyText"/>
      </w:pPr>
      <w:r>
        <w:rPr>
          <w:b/>
          <w:bCs/>
        </w:rPr>
        <w:t xml:space="preserve">Target audience:</w:t>
      </w:r>
      <w:r>
        <w:t xml:space="preserve"> </w:t>
      </w:r>
      <w:r>
        <w:t xml:space="preserve">Family caregivers of people with dementia, traumatic brain injury, PTSD, or other chronic conditions</w:t>
      </w:r>
    </w:p>
    <w:p>
      <w:pPr>
        <w:pStyle w:val="BodyText"/>
      </w:pPr>
      <w:r>
        <w:rPr>
          <w:b/>
          <w:bCs/>
        </w:rPr>
        <w:t xml:space="preserve">Scope:</w:t>
      </w:r>
      <w:r>
        <w:t xml:space="preserve"> </w:t>
      </w:r>
      <w:r>
        <w:t xml:space="preserve">Six weekly 2.5-hour sessions covering stress management, effective communication with family and healthcare providers, managing difficult emotions, making decisions about treatment and housing, and navigating support resources. Peer-led model; trained facilitators who are current or former caregivers.</w:t>
      </w:r>
    </w:p>
    <w:p>
      <w:pPr>
        <w:pStyle w:val="BodyText"/>
      </w:pPr>
      <w:r>
        <w:rPr>
          <w:b/>
          <w:bCs/>
        </w:rPr>
        <w:t xml:space="preserve">Format:</w:t>
      </w:r>
      <w:r>
        <w:t xml:space="preserve"> </w:t>
      </w:r>
      <w:r>
        <w:t xml:space="preserve">Community-based group workshop; peer-led; strong mutual support emphasis.</w:t>
      </w:r>
    </w:p>
    <w:p>
      <w:pPr>
        <w:pStyle w:val="BodyText"/>
      </w:pPr>
      <w:r>
        <w:rPr>
          <w:b/>
          <w:bCs/>
        </w:rPr>
        <w:t xml:space="preserve">Availability:</w:t>
      </w:r>
      <w:r>
        <w:t xml:space="preserve"> </w:t>
      </w:r>
      <w:r>
        <w:t xml:space="preserve">Actively maintained; available through VA Caregiver Support Program and state aging networks. Leader’s manual available at selfmanagementresource.com.</w:t>
      </w:r>
    </w:p>
    <w:p>
      <w:pPr>
        <w:pStyle w:val="BodyText"/>
      </w:pPr>
      <w:r>
        <w:rPr>
          <w:b/>
          <w:bCs/>
        </w:rPr>
        <w:t xml:space="preserve">Fit assessment:</w:t>
      </w:r>
      <w:r>
        <w:t xml:space="preserve"> </w:t>
      </w:r>
      <w:r>
        <w:t xml:space="preserve">Similar profile to Powerful Tools for Caregivers. Caregiver-facing; condition-specific (heavy TBI/dementia orientation); well-designed emotional support curriculum. Could inform content for the Emotional pillar but not a template for the full workshop. The peer-led model is worth noting for rural communities where professional facilitators are scarce.</w:t>
      </w:r>
    </w:p>
    <w:p>
      <w:r>
        <w:pict>
          <v:rect style="width:0;height:1.5pt" o:hralign="center" o:hrstd="t" o:hr="t"/>
        </w:pict>
      </w:r>
    </w:p>
    <w:bookmarkEnd w:id="14"/>
    <w:bookmarkStart w:id="15" w:name="nourish-for-caregivers"/>
    <w:p>
      <w:pPr>
        <w:pStyle w:val="Heading3"/>
      </w:pPr>
      <w:r>
        <w:t xml:space="preserve">5. Nourish for Caregivers</w:t>
      </w:r>
    </w:p>
    <w:p>
      <w:pPr>
        <w:pStyle w:val="FirstParagraph"/>
      </w:pPr>
      <w:r>
        <w:rPr>
          <w:b/>
          <w:bCs/>
        </w:rPr>
        <w:t xml:space="preserve">Source organization:</w:t>
      </w:r>
      <w:r>
        <w:t xml:space="preserve"> </w:t>
      </w:r>
      <w:r>
        <w:t xml:space="preserve">Nourish for Caregivers Ministry (Catholic tradition); distributed through parishes</w:t>
      </w:r>
    </w:p>
    <w:p>
      <w:pPr>
        <w:pStyle w:val="BodyText"/>
      </w:pPr>
      <w:r>
        <w:rPr>
          <w:b/>
          <w:bCs/>
        </w:rPr>
        <w:t xml:space="preserve">Target audience:</w:t>
      </w:r>
      <w:r>
        <w:t xml:space="preserve"> </w:t>
      </w:r>
      <w:r>
        <w:t xml:space="preserve">Family caregivers; faith community members</w:t>
      </w:r>
    </w:p>
    <w:p>
      <w:pPr>
        <w:pStyle w:val="BodyText"/>
      </w:pPr>
      <w:r>
        <w:rPr>
          <w:b/>
          <w:bCs/>
        </w:rPr>
        <w:t xml:space="preserve">Scope:</w:t>
      </w:r>
      <w:r>
        <w:t xml:space="preserve"> </w:t>
      </w:r>
      <w:r>
        <w:t xml:space="preserve">12-session parish curriculum organized in three parts: (1) planning and support mechanisms, (2) roles and communications, family dynamics, and learning to share caregiving responsibilities, (3) safety and quality of life. Practical, emotional, and spiritual content integrated. Marketed as the</w:t>
      </w:r>
      <w:r>
        <w:t xml:space="preserve"> </w:t>
      </w:r>
      <w:r>
        <w:t xml:space="preserve">“Prepare to Care”</w:t>
      </w:r>
      <w:r>
        <w:t xml:space="preserve"> </w:t>
      </w:r>
      <w:r>
        <w:t xml:space="preserve">workshops.</w:t>
      </w:r>
    </w:p>
    <w:p>
      <w:pPr>
        <w:pStyle w:val="BodyText"/>
      </w:pPr>
      <w:r>
        <w:rPr>
          <w:b/>
          <w:bCs/>
        </w:rPr>
        <w:t xml:space="preserve">Format:</w:t>
      </w:r>
      <w:r>
        <w:t xml:space="preserve"> </w:t>
      </w:r>
      <w:r>
        <w:t xml:space="preserve">Ongoing parish ministry; small group; turnkey curriculum with facilitator materials.</w:t>
      </w:r>
    </w:p>
    <w:p>
      <w:pPr>
        <w:pStyle w:val="BodyText"/>
      </w:pPr>
      <w:r>
        <w:rPr>
          <w:b/>
          <w:bCs/>
        </w:rPr>
        <w:t xml:space="preserve">Availability:</w:t>
      </w:r>
      <w:r>
        <w:t xml:space="preserve"> </w:t>
      </w:r>
      <w:r>
        <w:t xml:space="preserve">Available through parishes adopting the program; curriculum materials from nourishforcaregivers.com. Catholic orientation makes it less portable to non-faith settings.</w:t>
      </w:r>
    </w:p>
    <w:p>
      <w:pPr>
        <w:pStyle w:val="BodyText"/>
      </w:pPr>
      <w:r>
        <w:rPr>
          <w:b/>
          <w:bCs/>
        </w:rPr>
        <w:t xml:space="preserve">Fit assessment:</w:t>
      </w:r>
      <w:r>
        <w:t xml:space="preserve"> </w:t>
      </w:r>
      <w:r>
        <w:t xml:space="preserve">Structurally interesting because it acknowledges that caregiver support is not a one-time event but an ongoing ministry — that framing matches the long arc of decline the workshop addresses. The family dynamics content (Part 2) covers ground that relates to the Emotional pillar: role shifts, family communication, learning to share caregiving work. But the program is caregiver-facing and faith-specific. The domestic and financial pillars are not addressed in depth. Not a usable template, but the three-part structure (planning/support, roles/communication, safety/quality of life) is a thematic sequence worth noting.</w:t>
      </w:r>
    </w:p>
    <w:p>
      <w:r>
        <w:pict>
          <v:rect style="width:0;height:1.5pt" o:hralign="center" o:hrstd="t" o:hr="t"/>
        </w:pict>
      </w:r>
    </w:p>
    <w:bookmarkEnd w:id="15"/>
    <w:bookmarkStart w:id="16" w:name="X514923f63862c9106259a8b5b4544457090b42f"/>
    <w:p>
      <w:pPr>
        <w:pStyle w:val="Heading3"/>
      </w:pPr>
      <w:r>
        <w:t xml:space="preserve">6. Stanford</w:t>
      </w:r>
      <w:r>
        <w:t xml:space="preserve"> </w:t>
      </w:r>
      <w:r>
        <w:t xml:space="preserve">“Aging Wisely: Proactive Planning for Long Term Care”</w:t>
      </w:r>
      <w:r>
        <w:t xml:space="preserve"> </w:t>
      </w:r>
      <w:r>
        <w:t xml:space="preserve">Workshop Series</w:t>
      </w:r>
    </w:p>
    <w:p>
      <w:pPr>
        <w:pStyle w:val="FirstParagraph"/>
      </w:pPr>
      <w:r>
        <w:rPr>
          <w:b/>
          <w:bCs/>
        </w:rPr>
        <w:t xml:space="preserve">Source organization:</w:t>
      </w:r>
      <w:r>
        <w:t xml:space="preserve"> </w:t>
      </w:r>
      <w:r>
        <w:t xml:space="preserve">Stanford University, offered through Stanford Cardinal at Work (employee benefits program)</w:t>
      </w:r>
    </w:p>
    <w:p>
      <w:pPr>
        <w:pStyle w:val="BodyText"/>
      </w:pPr>
      <w:r>
        <w:rPr>
          <w:b/>
          <w:bCs/>
        </w:rPr>
        <w:t xml:space="preserve">Target audience:</w:t>
      </w:r>
      <w:r>
        <w:t xml:space="preserve"> </w:t>
      </w:r>
      <w:r>
        <w:t xml:space="preserve">Adults planning for their own long-term care or a loved one’s; currently scoped as a Stanford employee benefit</w:t>
      </w:r>
    </w:p>
    <w:p>
      <w:pPr>
        <w:pStyle w:val="BodyText"/>
      </w:pPr>
      <w:r>
        <w:rPr>
          <w:b/>
          <w:bCs/>
        </w:rPr>
        <w:t xml:space="preserve">Scope:</w:t>
      </w:r>
      <w:r>
        <w:t xml:space="preserve"> </w:t>
      </w:r>
      <w:r>
        <w:t xml:space="preserve">Four-part workshop series; presentations and group discussion; holistic perspective on long-term care planning; assessing specific care needs; exploring solutions to common planning questions.</w:t>
      </w:r>
    </w:p>
    <w:p>
      <w:pPr>
        <w:pStyle w:val="BodyText"/>
      </w:pPr>
      <w:r>
        <w:rPr>
          <w:b/>
          <w:bCs/>
        </w:rPr>
        <w:t xml:space="preserve">Format:</w:t>
      </w:r>
      <w:r>
        <w:t xml:space="preserve"> </w:t>
      </w:r>
      <w:r>
        <w:t xml:space="preserve">Four sessions; group workshop; employer-benefit delivery channel.</w:t>
      </w:r>
    </w:p>
    <w:p>
      <w:pPr>
        <w:pStyle w:val="BodyText"/>
      </w:pPr>
      <w:r>
        <w:rPr>
          <w:b/>
          <w:bCs/>
        </w:rPr>
        <w:t xml:space="preserve">Availability:</w:t>
      </w:r>
      <w:r>
        <w:t xml:space="preserve"> </w:t>
      </w:r>
      <w:r>
        <w:t xml:space="preserve">Limited to Stanford employees and affiliates; not publicly available as a curriculum.</w:t>
      </w:r>
    </w:p>
    <w:p>
      <w:pPr>
        <w:pStyle w:val="BodyText"/>
      </w:pPr>
      <w:r>
        <w:rPr>
          <w:b/>
          <w:bCs/>
        </w:rPr>
        <w:t xml:space="preserve">Fit assessment:</w:t>
      </w:r>
      <w:r>
        <w:t xml:space="preserve"> </w:t>
      </w:r>
      <w:r>
        <w:t xml:space="preserve">The most proactively framed program found — it positions planning as something to do</w:t>
      </w:r>
      <w:r>
        <w:t xml:space="preserve"> </w:t>
      </w:r>
      <w:r>
        <w:rPr>
          <w:i/>
          <w:iCs/>
        </w:rPr>
        <w:t xml:space="preserve">before</w:t>
      </w:r>
      <w:r>
        <w:t xml:space="preserve"> </w:t>
      </w:r>
      <w:r>
        <w:t xml:space="preserve">crisis, from the individual’s own perspective. But the program is not publicly available, the curriculum is not documented in any accessible form, and its scope (</w:t>
      </w:r>
      <w:r>
        <w:t xml:space="preserve">“long-term care planning”</w:t>
      </w:r>
      <w:r>
        <w:t xml:space="preserve">) likely tilts toward financial coverage and care facility options rather than the operational arc of household sustainability. Noted as evidence that this framing can be packaged for adults planning for themselves, but not usable as a template.</w:t>
      </w:r>
    </w:p>
    <w:p>
      <w:r>
        <w:pict>
          <v:rect style="width:0;height:1.5pt" o:hralign="center" o:hrstd="t" o:hr="t"/>
        </w:pict>
      </w:r>
    </w:p>
    <w:bookmarkEnd w:id="16"/>
    <w:bookmarkEnd w:id="17"/>
    <w:bookmarkStart w:id="21" w:name="category-2-books-used-as-program-guides"/>
    <w:p>
      <w:pPr>
        <w:pStyle w:val="Heading2"/>
      </w:pPr>
      <w:r>
        <w:t xml:space="preserve">Category 2: Books Used as Program Guides</w:t>
      </w:r>
    </w:p>
    <w:bookmarkStart w:id="18" w:name="X3f155e7cb35f8997a03278f473317f2496c6a55"/>
    <w:p>
      <w:pPr>
        <w:pStyle w:val="Heading3"/>
      </w:pPr>
      <w:r>
        <w:t xml:space="preserve">7. Handbook of Geriatric Care Management (4th ed.)</w:t>
      </w:r>
    </w:p>
    <w:p>
      <w:pPr>
        <w:pStyle w:val="FirstParagraph"/>
      </w:pPr>
      <w:r>
        <w:rPr>
          <w:b/>
          <w:bCs/>
        </w:rPr>
        <w:t xml:space="preserve">Author:</w:t>
      </w:r>
      <w:r>
        <w:t xml:space="preserve"> </w:t>
      </w:r>
      <w:r>
        <w:t xml:space="preserve">Cathy Jo Cress</w:t>
      </w:r>
    </w:p>
    <w:p>
      <w:pPr>
        <w:pStyle w:val="BodyText"/>
      </w:pPr>
      <w:r>
        <w:rPr>
          <w:b/>
          <w:bCs/>
        </w:rPr>
        <w:t xml:space="preserve">Publisher:</w:t>
      </w:r>
      <w:r>
        <w:t xml:space="preserve"> </w:t>
      </w:r>
      <w:r>
        <w:t xml:space="preserve">Jones &amp; Bartlett Learning</w:t>
      </w:r>
    </w:p>
    <w:p>
      <w:pPr>
        <w:pStyle w:val="BodyText"/>
      </w:pPr>
      <w:r>
        <w:rPr>
          <w:b/>
          <w:bCs/>
        </w:rPr>
        <w:t xml:space="preserve">Target audience:</w:t>
      </w:r>
      <w:r>
        <w:t xml:space="preserve"> </w:t>
      </w:r>
      <w:r>
        <w:t xml:space="preserve">Geriatric care managers, social workers, aging services professionals</w:t>
      </w:r>
    </w:p>
    <w:p>
      <w:pPr>
        <w:pStyle w:val="BodyText"/>
      </w:pPr>
      <w:r>
        <w:rPr>
          <w:b/>
          <w:bCs/>
        </w:rPr>
        <w:t xml:space="preserve">Scope:</w:t>
      </w:r>
      <w:r>
        <w:t xml:space="preserve"> </w:t>
      </w:r>
      <w:r>
        <w:t xml:space="preserve">Comprehensive professional reference covering geriatric assessment, care plan development, working with families, managing ethical dilemmas, handling dementia and depression, financial issues, and building a care management practice. Includes case studies, sample forms, and practice tips.</w:t>
      </w:r>
    </w:p>
    <w:p>
      <w:pPr>
        <w:pStyle w:val="BodyText"/>
      </w:pPr>
      <w:r>
        <w:rPr>
          <w:b/>
          <w:bCs/>
        </w:rPr>
        <w:t xml:space="preserve">Format:</w:t>
      </w:r>
      <w:r>
        <w:t xml:space="preserve"> </w:t>
      </w:r>
      <w:r>
        <w:t xml:space="preserve">Textbook / professional reference; used in professional training programs.</w:t>
      </w:r>
    </w:p>
    <w:p>
      <w:pPr>
        <w:pStyle w:val="BodyText"/>
      </w:pPr>
      <w:r>
        <w:rPr>
          <w:b/>
          <w:bCs/>
        </w:rPr>
        <w:t xml:space="preserve">Availability:</w:t>
      </w:r>
      <w:r>
        <w:t xml:space="preserve"> </w:t>
      </w:r>
      <w:r>
        <w:t xml:space="preserve">Widely available; Amazon and academic publishers. Standard reference in care management training.</w:t>
      </w:r>
    </w:p>
    <w:p>
      <w:pPr>
        <w:pStyle w:val="BodyText"/>
      </w:pPr>
      <w:r>
        <w:rPr>
          <w:b/>
          <w:bCs/>
        </w:rPr>
        <w:t xml:space="preserve">Fit assessment:</w:t>
      </w:r>
      <w:r>
        <w:t xml:space="preserve"> </w:t>
      </w:r>
      <w:r>
        <w:t xml:space="preserve">The most comprehensive professional framework found for thinking through the full range of issues that emerge as older adults decline. The book implicitly addresses all three Household Homeostasis pillars — financial management, domestic arrangements, and emotional/relational dynamics — through its case management lens. However, it is a professional training text, not a lay curriculum. It is not designed for community workshop delivery and assumes professional knowledge that participants of the Aging Transitions Workshop would not have. Its assessment frameworks and care planning structures could inform how the workshop builds its participant action plan template.</w:t>
      </w:r>
    </w:p>
    <w:p>
      <w:r>
        <w:pict>
          <v:rect style="width:0;height:1.5pt" o:hralign="center" o:hrstd="t" o:hr="t"/>
        </w:pict>
      </w:r>
    </w:p>
    <w:bookmarkEnd w:id="18"/>
    <w:bookmarkStart w:id="19" w:name="the-complete-eldercare-planner-4th-ed."/>
    <w:p>
      <w:pPr>
        <w:pStyle w:val="Heading3"/>
      </w:pPr>
      <w:r>
        <w:t xml:space="preserve">8. The Complete Eldercare Planner (4th ed.)</w:t>
      </w:r>
    </w:p>
    <w:p>
      <w:pPr>
        <w:pStyle w:val="FirstParagraph"/>
      </w:pPr>
      <w:r>
        <w:rPr>
          <w:b/>
          <w:bCs/>
        </w:rPr>
        <w:t xml:space="preserve">Author:</w:t>
      </w:r>
      <w:r>
        <w:t xml:space="preserve"> </w:t>
      </w:r>
      <w:r>
        <w:t xml:space="preserve">Joy Loverde</w:t>
      </w:r>
    </w:p>
    <w:p>
      <w:pPr>
        <w:pStyle w:val="BodyText"/>
      </w:pPr>
      <w:r>
        <w:rPr>
          <w:b/>
          <w:bCs/>
        </w:rPr>
        <w:t xml:space="preserve">Publisher:</w:t>
      </w:r>
      <w:r>
        <w:t xml:space="preserve"> </w:t>
      </w:r>
      <w:r>
        <w:t xml:space="preserve">Penguin Random House</w:t>
      </w:r>
    </w:p>
    <w:p>
      <w:pPr>
        <w:pStyle w:val="BodyText"/>
      </w:pPr>
      <w:r>
        <w:rPr>
          <w:b/>
          <w:bCs/>
        </w:rPr>
        <w:t xml:space="preserve">Target audience:</w:t>
      </w:r>
      <w:r>
        <w:t xml:space="preserve"> </w:t>
      </w:r>
      <w:r>
        <w:t xml:space="preserve">Family caregivers and eldercare professionals; also used as a workshop resource by the author in presentations to employer groups, church groups, and professional associations</w:t>
      </w:r>
    </w:p>
    <w:p>
      <w:pPr>
        <w:pStyle w:val="BodyText"/>
      </w:pPr>
      <w:r>
        <w:rPr>
          <w:b/>
          <w:bCs/>
        </w:rPr>
        <w:t xml:space="preserve">Scope:</w:t>
      </w:r>
      <w:r>
        <w:t xml:space="preserve"> </w:t>
      </w:r>
      <w:r>
        <w:t xml:space="preserve">Action plans, checklists, and worksheets covering eldercare navigation, financial protection, distance caregiving, managing the care-worker shortage, communication with elders, warning signs of dementia, and eldercare emergencies. Widely regarded as a practical all-in-one reference.</w:t>
      </w:r>
    </w:p>
    <w:p>
      <w:pPr>
        <w:pStyle w:val="BodyText"/>
      </w:pPr>
      <w:r>
        <w:rPr>
          <w:b/>
          <w:bCs/>
        </w:rPr>
        <w:t xml:space="preserve">Format:</w:t>
      </w:r>
      <w:r>
        <w:t xml:space="preserve"> </w:t>
      </w:r>
      <w:r>
        <w:t xml:space="preserve">Consumer guide with heavy checklist/worksheet structure; adapted by the author into workshop presentations.</w:t>
      </w:r>
    </w:p>
    <w:p>
      <w:pPr>
        <w:pStyle w:val="BodyText"/>
      </w:pPr>
      <w:r>
        <w:rPr>
          <w:b/>
          <w:bCs/>
        </w:rPr>
        <w:t xml:space="preserve">Availability:</w:t>
      </w:r>
      <w:r>
        <w:t xml:space="preserve"> </w:t>
      </w:r>
      <w:r>
        <w:t xml:space="preserve">Widely available; fourth edition current.</w:t>
      </w:r>
    </w:p>
    <w:p>
      <w:pPr>
        <w:pStyle w:val="BodyText"/>
      </w:pPr>
      <w:r>
        <w:rPr>
          <w:b/>
          <w:bCs/>
        </w:rPr>
        <w:t xml:space="preserve">Fit assessment:</w:t>
      </w:r>
      <w:r>
        <w:t xml:space="preserve"> </w:t>
      </w:r>
      <w:r>
        <w:t xml:space="preserve">The checklist and worksheet structure is worth noting as a design approach — participants can use structured forms to take stock of their situation and identify gaps. The author herself uses the book as a workshop resource, demonstrating it can support group settings. But like most books in this space, The Complete Eldercare Planner is caregiver-facing, not designed for the aging adult’s own preparation. It also treats topics as discrete items rather than as an integrated system at risk. The domestic operational fabric of the household (cooking, cleaning, maintenance — the daily labor that keeps a home functional) is underrepresented.</w:t>
      </w:r>
    </w:p>
    <w:p>
      <w:r>
        <w:pict>
          <v:rect style="width:0;height:1.5pt" o:hralign="center" o:hrstd="t" o:hr="t"/>
        </w:pict>
      </w:r>
    </w:p>
    <w:bookmarkEnd w:id="19"/>
    <w:bookmarkStart w:id="20" w:name="how-to-care-for-aging-parents-3rd-ed."/>
    <w:p>
      <w:pPr>
        <w:pStyle w:val="Heading3"/>
      </w:pPr>
      <w:r>
        <w:t xml:space="preserve">9. How to Care for Aging Parents (3rd ed.)</w:t>
      </w:r>
    </w:p>
    <w:p>
      <w:pPr>
        <w:pStyle w:val="FirstParagraph"/>
      </w:pPr>
      <w:r>
        <w:rPr>
          <w:b/>
          <w:bCs/>
        </w:rPr>
        <w:t xml:space="preserve">Author:</w:t>
      </w:r>
      <w:r>
        <w:t xml:space="preserve"> </w:t>
      </w:r>
      <w:r>
        <w:t xml:space="preserve">Virginia Morris</w:t>
      </w:r>
    </w:p>
    <w:p>
      <w:pPr>
        <w:pStyle w:val="BodyText"/>
      </w:pPr>
      <w:r>
        <w:rPr>
          <w:b/>
          <w:bCs/>
        </w:rPr>
        <w:t xml:space="preserve">Publisher:</w:t>
      </w:r>
      <w:r>
        <w:t xml:space="preserve"> </w:t>
      </w:r>
      <w:r>
        <w:t xml:space="preserve">Workman Publishing</w:t>
      </w:r>
    </w:p>
    <w:p>
      <w:pPr>
        <w:pStyle w:val="BodyText"/>
      </w:pPr>
      <w:r>
        <w:rPr>
          <w:b/>
          <w:bCs/>
        </w:rPr>
        <w:t xml:space="preserve">Target audience:</w:t>
      </w:r>
      <w:r>
        <w:t xml:space="preserve"> </w:t>
      </w:r>
      <w:r>
        <w:t xml:space="preserve">Family caregivers</w:t>
      </w:r>
    </w:p>
    <w:p>
      <w:pPr>
        <w:pStyle w:val="BodyText"/>
      </w:pPr>
      <w:r>
        <w:rPr>
          <w:b/>
          <w:bCs/>
        </w:rPr>
        <w:t xml:space="preserve">Scope:</w:t>
      </w:r>
      <w:r>
        <w:t xml:space="preserve"> </w:t>
      </w:r>
      <w:r>
        <w:t xml:space="preserve">Often described as the</w:t>
      </w:r>
      <w:r>
        <w:t xml:space="preserve"> </w:t>
      </w:r>
      <w:r>
        <w:t xml:space="preserve">“Bible of eldercare.”</w:t>
      </w:r>
      <w:r>
        <w:t xml:space="preserve"> </w:t>
      </w:r>
      <w:r>
        <w:t xml:space="preserve">Comprehensive coverage of medical decision-making, financial planning, legal concerns, home safety, and family dynamics. Written for lay family caregivers managing an already-declining parent.</w:t>
      </w:r>
    </w:p>
    <w:p>
      <w:pPr>
        <w:pStyle w:val="BodyText"/>
      </w:pPr>
      <w:r>
        <w:rPr>
          <w:b/>
          <w:bCs/>
        </w:rPr>
        <w:t xml:space="preserve">Format:</w:t>
      </w:r>
      <w:r>
        <w:t xml:space="preserve"> </w:t>
      </w:r>
      <w:r>
        <w:t xml:space="preserve">Consumer reference; not designed for workshop delivery.</w:t>
      </w:r>
    </w:p>
    <w:p>
      <w:pPr>
        <w:pStyle w:val="BodyText"/>
      </w:pPr>
      <w:r>
        <w:rPr>
          <w:b/>
          <w:bCs/>
        </w:rPr>
        <w:t xml:space="preserve">Availability:</w:t>
      </w:r>
      <w:r>
        <w:t xml:space="preserve"> </w:t>
      </w:r>
      <w:r>
        <w:t xml:space="preserve">Widely available.</w:t>
      </w:r>
    </w:p>
    <w:p>
      <w:pPr>
        <w:pStyle w:val="BodyText"/>
      </w:pPr>
      <w:r>
        <w:rPr>
          <w:b/>
          <w:bCs/>
        </w:rPr>
        <w:t xml:space="preserve">Fit assessment:</w:t>
      </w:r>
      <w:r>
        <w:t xml:space="preserve"> </w:t>
      </w:r>
      <w:r>
        <w:t xml:space="preserve">Excellent reference for family caregivers already in the thick of caregiving, but reactive in orientation (managing what is already happening) and caregiver-facing. The book does not help aging adults plan for their own decline, and its density and comprehensiveness make it unsuitable as a workshop curriculum template.</w:t>
      </w:r>
    </w:p>
    <w:p>
      <w:r>
        <w:pict>
          <v:rect style="width:0;height:1.5pt" o:hralign="center" o:hrstd="t" o:hr="t"/>
        </w:pict>
      </w:r>
    </w:p>
    <w:bookmarkEnd w:id="20"/>
    <w:bookmarkEnd w:id="21"/>
    <w:bookmarkStart w:id="27" w:name="category-3-organizational-programs"/>
    <w:p>
      <w:pPr>
        <w:pStyle w:val="Heading2"/>
      </w:pPr>
      <w:r>
        <w:t xml:space="preserve">Category 3: Organizational Programs</w:t>
      </w:r>
    </w:p>
    <w:bookmarkStart w:id="22" w:name="aarp-prepare-to-care-guide"/>
    <w:p>
      <w:pPr>
        <w:pStyle w:val="Heading3"/>
      </w:pPr>
      <w:r>
        <w:t xml:space="preserve">10. AARP Prepare to Care Guide</w:t>
      </w:r>
    </w:p>
    <w:p>
      <w:pPr>
        <w:pStyle w:val="FirstParagraph"/>
      </w:pPr>
      <w:r>
        <w:rPr>
          <w:b/>
          <w:bCs/>
        </w:rPr>
        <w:t xml:space="preserve">Source organization:</w:t>
      </w:r>
      <w:r>
        <w:t xml:space="preserve"> </w:t>
      </w:r>
      <w:r>
        <w:t xml:space="preserve">AARP</w:t>
      </w:r>
    </w:p>
    <w:p>
      <w:pPr>
        <w:pStyle w:val="BodyText"/>
      </w:pPr>
      <w:r>
        <w:rPr>
          <w:b/>
          <w:bCs/>
        </w:rPr>
        <w:t xml:space="preserve">Target audience:</w:t>
      </w:r>
      <w:r>
        <w:t xml:space="preserve"> </w:t>
      </w:r>
      <w:r>
        <w:t xml:space="preserve">Family caregivers</w:t>
      </w:r>
    </w:p>
    <w:p>
      <w:pPr>
        <w:pStyle w:val="BodyText"/>
      </w:pPr>
      <w:r>
        <w:rPr>
          <w:b/>
          <w:bCs/>
        </w:rPr>
        <w:t xml:space="preserve">Scope:</w:t>
      </w:r>
      <w:r>
        <w:t xml:space="preserve"> </w:t>
      </w:r>
      <w:r>
        <w:t xml:space="preserve">A planning guide booklet covering how to have vital conversations with an aging family member, organize important documents, assess needs, and locate resources. Available in multiple languages, including adaptations for veterans and LGBTQ+ caregivers.</w:t>
      </w:r>
    </w:p>
    <w:p>
      <w:pPr>
        <w:pStyle w:val="BodyText"/>
      </w:pPr>
      <w:r>
        <w:rPr>
          <w:b/>
          <w:bCs/>
        </w:rPr>
        <w:t xml:space="preserve">Format:</w:t>
      </w:r>
      <w:r>
        <w:t xml:space="preserve"> </w:t>
      </w:r>
      <w:r>
        <w:t xml:space="preserve">Free downloadable booklet; not a workshop curriculum. AARP also offers an online seminar (</w:t>
      </w:r>
      <w:r>
        <w:t xml:space="preserve">“Planning for the Care of Aging Parents”</w:t>
      </w:r>
      <w:r>
        <w:t xml:space="preserve">) tied to the guide.</w:t>
      </w:r>
    </w:p>
    <w:p>
      <w:pPr>
        <w:pStyle w:val="BodyText"/>
      </w:pPr>
      <w:r>
        <w:rPr>
          <w:b/>
          <w:bCs/>
        </w:rPr>
        <w:t xml:space="preserve">Availability:</w:t>
      </w:r>
      <w:r>
        <w:t xml:space="preserve"> </w:t>
      </w:r>
      <w:r>
        <w:t xml:space="preserve">Free download at aarp.org/caregiving/prepare-to-care-planning-guide/</w:t>
      </w:r>
    </w:p>
    <w:p>
      <w:pPr>
        <w:pStyle w:val="BodyText"/>
      </w:pPr>
      <w:r>
        <w:rPr>
          <w:b/>
          <w:bCs/>
        </w:rPr>
        <w:t xml:space="preserve">Fit assessment:</w:t>
      </w:r>
      <w:r>
        <w:t xml:space="preserve"> </w:t>
      </w:r>
      <w:r>
        <w:t xml:space="preserve">Useful as a reference and as a model for a family-facing companion piece to the workshop’s participant materials. Not a workshop template. Caregiver-facing; primarily addresses document organization, family communication, and resource identification. Does not address the arc of decline, household sustainability as an integrated system, or the rural access constraints that shape what Lopez Island participants can actually do.</w:t>
      </w:r>
    </w:p>
    <w:p>
      <w:r>
        <w:pict>
          <v:rect style="width:0;height:1.5pt" o:hralign="center" o:hrstd="t" o:hr="t"/>
        </w:pict>
      </w:r>
    </w:p>
    <w:bookmarkEnd w:id="22"/>
    <w:bookmarkStart w:id="23" w:name="aarp-homefit-guide"/>
    <w:p>
      <w:pPr>
        <w:pStyle w:val="Heading3"/>
      </w:pPr>
      <w:r>
        <w:t xml:space="preserve">11. AARP HomeFit Guide</w:t>
      </w:r>
    </w:p>
    <w:p>
      <w:pPr>
        <w:pStyle w:val="FirstParagraph"/>
      </w:pPr>
      <w:r>
        <w:rPr>
          <w:b/>
          <w:bCs/>
        </w:rPr>
        <w:t xml:space="preserve">Source organization:</w:t>
      </w:r>
      <w:r>
        <w:t xml:space="preserve"> </w:t>
      </w:r>
      <w:r>
        <w:t xml:space="preserve">AARP</w:t>
      </w:r>
    </w:p>
    <w:p>
      <w:pPr>
        <w:pStyle w:val="BodyText"/>
      </w:pPr>
      <w:r>
        <w:rPr>
          <w:b/>
          <w:bCs/>
        </w:rPr>
        <w:t xml:space="preserve">Target audience:</w:t>
      </w:r>
      <w:r>
        <w:t xml:space="preserve"> </w:t>
      </w:r>
      <w:r>
        <w:t xml:space="preserve">Homeowners and renters of all ages; aging adults and family members</w:t>
      </w:r>
    </w:p>
    <w:p>
      <w:pPr>
        <w:pStyle w:val="BodyText"/>
      </w:pPr>
      <w:r>
        <w:rPr>
          <w:b/>
          <w:bCs/>
        </w:rPr>
        <w:t xml:space="preserve">Scope:</w:t>
      </w:r>
      <w:r>
        <w:t xml:space="preserve"> </w:t>
      </w:r>
      <w:r>
        <w:t xml:space="preserve">A 36-page illustrated guide to home modifications for safety, comfort, and accessibility — room-by-room checklist approach.</w:t>
      </w:r>
    </w:p>
    <w:p>
      <w:pPr>
        <w:pStyle w:val="BodyText"/>
      </w:pPr>
      <w:r>
        <w:rPr>
          <w:b/>
          <w:bCs/>
        </w:rPr>
        <w:t xml:space="preserve">Format:</w:t>
      </w:r>
      <w:r>
        <w:t xml:space="preserve"> </w:t>
      </w:r>
      <w:r>
        <w:t xml:space="preserve">Free downloadable guide; not a workshop curriculum.</w:t>
      </w:r>
    </w:p>
    <w:p>
      <w:pPr>
        <w:pStyle w:val="BodyText"/>
      </w:pPr>
      <w:r>
        <w:rPr>
          <w:b/>
          <w:bCs/>
        </w:rPr>
        <w:t xml:space="preserve">Availability:</w:t>
      </w:r>
      <w:r>
        <w:t xml:space="preserve"> </w:t>
      </w:r>
      <w:r>
        <w:t xml:space="preserve">Free download at aarp.org/livable-communities/housing/info-2020/homefit-guide.html</w:t>
      </w:r>
    </w:p>
    <w:p>
      <w:pPr>
        <w:pStyle w:val="BodyText"/>
      </w:pPr>
      <w:r>
        <w:rPr>
          <w:b/>
          <w:bCs/>
        </w:rPr>
        <w:t xml:space="preserve">Fit assessment:</w:t>
      </w:r>
      <w:r>
        <w:t xml:space="preserve"> </w:t>
      </w:r>
      <w:r>
        <w:t xml:space="preserve">Covers the physical environment dimension of the Domestic pillar (housing safety and accessibility). Useful as a standalone reference tool for participants. Not a workshop template; addresses only one narrow slice of household sustainability.</w:t>
      </w:r>
    </w:p>
    <w:p>
      <w:r>
        <w:pict>
          <v:rect style="width:0;height:1.5pt" o:hralign="center" o:hrstd="t" o:hr="t"/>
        </w:pict>
      </w:r>
    </w:p>
    <w:bookmarkEnd w:id="23"/>
    <w:bookmarkStart w:id="24" w:name="X84c3665f528a9005856305a2141b30eb6afd87a"/>
    <w:p>
      <w:pPr>
        <w:pStyle w:val="Heading3"/>
      </w:pPr>
      <w:r>
        <w:t xml:space="preserve">12. CAPABLE Program (Community Aging in Place — Advancing Better Living for Elders)</w:t>
      </w:r>
    </w:p>
    <w:p>
      <w:pPr>
        <w:pStyle w:val="FirstParagraph"/>
      </w:pPr>
      <w:r>
        <w:rPr>
          <w:b/>
          <w:bCs/>
        </w:rPr>
        <w:t xml:space="preserve">Source organization:</w:t>
      </w:r>
      <w:r>
        <w:t xml:space="preserve"> </w:t>
      </w:r>
      <w:r>
        <w:t xml:space="preserve">Johns Hopkins School of Nursing; national dissemination through CAPABLE National Center (capablenationalcenter.org)</w:t>
      </w:r>
    </w:p>
    <w:p>
      <w:pPr>
        <w:pStyle w:val="BodyText"/>
      </w:pPr>
      <w:r>
        <w:rPr>
          <w:b/>
          <w:bCs/>
        </w:rPr>
        <w:t xml:space="preserve">Target audience:</w:t>
      </w:r>
      <w:r>
        <w:t xml:space="preserve"> </w:t>
      </w:r>
      <w:r>
        <w:t xml:space="preserve">Community-dwelling older adults with functional limitations; primarily low-income populations</w:t>
      </w:r>
    </w:p>
    <w:p>
      <w:pPr>
        <w:pStyle w:val="BodyText"/>
      </w:pPr>
      <w:r>
        <w:rPr>
          <w:b/>
          <w:bCs/>
        </w:rPr>
        <w:t xml:space="preserve">Scope:</w:t>
      </w:r>
      <w:r>
        <w:t xml:space="preserve"> </w:t>
      </w:r>
      <w:r>
        <w:t xml:space="preserve">Individualized 10-visit home-based program (typically over 4–5 months): six visits from an occupational therapist, four from a registered nurse, plus work from a handyperson for home modifications. Participants set their own goals. Common goal areas: bathing, functional mobility, pain management. Home modifications tailored to participant goals. Strong evidence base; more than a decade of published research.</w:t>
      </w:r>
    </w:p>
    <w:p>
      <w:pPr>
        <w:pStyle w:val="BodyText"/>
      </w:pPr>
      <w:r>
        <w:rPr>
          <w:b/>
          <w:bCs/>
        </w:rPr>
        <w:t xml:space="preserve">Format:</w:t>
      </w:r>
      <w:r>
        <w:t xml:space="preserve"> </w:t>
      </w:r>
      <w:r>
        <w:t xml:space="preserve">Professional service delivery model (not a community education curriculum). Requires institutional partnership with an OT, an RN, and a handyperson team.</w:t>
      </w:r>
    </w:p>
    <w:p>
      <w:pPr>
        <w:pStyle w:val="BodyText"/>
      </w:pPr>
      <w:r>
        <w:rPr>
          <w:b/>
          <w:bCs/>
        </w:rPr>
        <w:t xml:space="preserve">Availability:</w:t>
      </w:r>
      <w:r>
        <w:t xml:space="preserve"> </w:t>
      </w:r>
      <w:r>
        <w:t xml:space="preserve">Implemented through health systems, Area Agencies on Aging, and community health organizations. Requires trained clinical staff. Not a workshop model.</w:t>
      </w:r>
    </w:p>
    <w:p>
      <w:pPr>
        <w:pStyle w:val="BodyText"/>
      </w:pPr>
      <w:r>
        <w:rPr>
          <w:b/>
          <w:bCs/>
        </w:rPr>
        <w:t xml:space="preserve">Fit assessment:</w:t>
      </w:r>
      <w:r>
        <w:t xml:space="preserve"> </w:t>
      </w:r>
      <w:r>
        <w:t xml:space="preserve">CAPABLE most directly addresses the Functional/ADL tier of the Homeostasis Framework in practice. It works from the older adult’s own goals, supports household modifications to extend independence, and has a strong evidence base. It is worth knowing about as a resource to connect participants to — but it is a clinical service, not a community education workshop. It cannot serve as a template for the Aging Transitions Workshop. Its person-centered, goal-setting approach is an instructive model; the workshop’s participant action plan could learn from CAPABLE’s structure of identifying goal areas and working backward to concrete steps.</w:t>
      </w:r>
    </w:p>
    <w:p>
      <w:r>
        <w:pict>
          <v:rect style="width:0;height:1.5pt" o:hralign="center" o:hrstd="t" o:hr="t"/>
        </w:pict>
      </w:r>
    </w:p>
    <w:bookmarkEnd w:id="24"/>
    <w:bookmarkStart w:id="25" w:name="X27822b7a8d2f050dd1314d3cfbf173b18cf2a4f"/>
    <w:p>
      <w:pPr>
        <w:pStyle w:val="Heading3"/>
      </w:pPr>
      <w:r>
        <w:t xml:space="preserve">13. National Family Caregiver Support Program (Administration for Community Living)</w:t>
      </w:r>
    </w:p>
    <w:p>
      <w:pPr>
        <w:pStyle w:val="FirstParagraph"/>
      </w:pPr>
      <w:r>
        <w:rPr>
          <w:b/>
          <w:bCs/>
        </w:rPr>
        <w:t xml:space="preserve">Source organization:</w:t>
      </w:r>
      <w:r>
        <w:t xml:space="preserve"> </w:t>
      </w:r>
      <w:r>
        <w:t xml:space="preserve">Administration for Community Living (ACL), delivered through Area Agencies on Aging</w:t>
      </w:r>
    </w:p>
    <w:p>
      <w:pPr>
        <w:pStyle w:val="BodyText"/>
      </w:pPr>
      <w:r>
        <w:rPr>
          <w:b/>
          <w:bCs/>
        </w:rPr>
        <w:t xml:space="preserve">Target audience:</w:t>
      </w:r>
      <w:r>
        <w:t xml:space="preserve"> </w:t>
      </w:r>
      <w:r>
        <w:t xml:space="preserve">Family caregivers; grandparents raising grandchildren</w:t>
      </w:r>
    </w:p>
    <w:p>
      <w:pPr>
        <w:pStyle w:val="BodyText"/>
      </w:pPr>
      <w:r>
        <w:rPr>
          <w:b/>
          <w:bCs/>
        </w:rPr>
        <w:t xml:space="preserve">Scope:</w:t>
      </w:r>
      <w:r>
        <w:t xml:space="preserve"> </w:t>
      </w:r>
      <w:r>
        <w:t xml:space="preserve">Federally funded grant program providing information, assistance with access to services, individual counseling, support groups, caregiver training, and respite care. Not a standardized curriculum — implementation varies by local AAA.</w:t>
      </w:r>
    </w:p>
    <w:p>
      <w:pPr>
        <w:pStyle w:val="BodyText"/>
      </w:pPr>
      <w:r>
        <w:rPr>
          <w:b/>
          <w:bCs/>
        </w:rPr>
        <w:t xml:space="preserve">Format:</w:t>
      </w:r>
      <w:r>
        <w:t xml:space="preserve"> </w:t>
      </w:r>
      <w:r>
        <w:t xml:space="preserve">Service delivery program, not a workshop curriculum.</w:t>
      </w:r>
    </w:p>
    <w:p>
      <w:pPr>
        <w:pStyle w:val="BodyText"/>
      </w:pPr>
      <w:r>
        <w:rPr>
          <w:b/>
          <w:bCs/>
        </w:rPr>
        <w:t xml:space="preserve">Availability:</w:t>
      </w:r>
      <w:r>
        <w:t xml:space="preserve"> </w:t>
      </w:r>
      <w:r>
        <w:t xml:space="preserve">Through local Area Agencies on Aging nationwide; the San Juan County AAA would be the relevant local entity.</w:t>
      </w:r>
    </w:p>
    <w:p>
      <w:pPr>
        <w:pStyle w:val="BodyText"/>
      </w:pPr>
      <w:r>
        <w:rPr>
          <w:b/>
          <w:bCs/>
        </w:rPr>
        <w:t xml:space="preserve">Fit assessment:</w:t>
      </w:r>
      <w:r>
        <w:t xml:space="preserve"> </w:t>
      </w:r>
      <w:r>
        <w:t xml:space="preserve">The NFCSP infrastructure is relevant for the workshop’s resource guide — it means there is a funded caregiver support pathway that Lopez Island seniors can be pointed toward. But it is not a curriculum model.</w:t>
      </w:r>
    </w:p>
    <w:p>
      <w:r>
        <w:pict>
          <v:rect style="width:0;height:1.5pt" o:hralign="center" o:hrstd="t" o:hr="t"/>
        </w:pict>
      </w:r>
    </w:p>
    <w:bookmarkEnd w:id="25"/>
    <w:bookmarkStart w:id="26" w:name="X443f5adb246d9d1c08afe7b3ba16cd987e9e9ea"/>
    <w:p>
      <w:pPr>
        <w:pStyle w:val="Heading3"/>
      </w:pPr>
      <w:r>
        <w:t xml:space="preserve">14. Respecting Choices Advance Care Planning Program</w:t>
      </w:r>
    </w:p>
    <w:p>
      <w:pPr>
        <w:pStyle w:val="FirstParagraph"/>
      </w:pPr>
      <w:r>
        <w:rPr>
          <w:b/>
          <w:bCs/>
        </w:rPr>
        <w:t xml:space="preserve">Source organization:</w:t>
      </w:r>
      <w:r>
        <w:t xml:space="preserve"> </w:t>
      </w:r>
      <w:r>
        <w:t xml:space="preserve">Respecting Choices (Gundersen Health System origin; now independently licensed)</w:t>
      </w:r>
    </w:p>
    <w:p>
      <w:pPr>
        <w:pStyle w:val="BodyText"/>
      </w:pPr>
      <w:r>
        <w:rPr>
          <w:b/>
          <w:bCs/>
        </w:rPr>
        <w:t xml:space="preserve">Target audience:</w:t>
      </w:r>
      <w:r>
        <w:t xml:space="preserve"> </w:t>
      </w:r>
      <w:r>
        <w:t xml:space="preserve">Adults at any age or stage of health; facilitator training program for clinicians, social workers, community members</w:t>
      </w:r>
    </w:p>
    <w:p>
      <w:pPr>
        <w:pStyle w:val="BodyText"/>
      </w:pPr>
      <w:r>
        <w:rPr>
          <w:b/>
          <w:bCs/>
        </w:rPr>
        <w:t xml:space="preserve">Scope:</w:t>
      </w:r>
      <w:r>
        <w:t xml:space="preserve"> </w:t>
      </w:r>
      <w:r>
        <w:t xml:space="preserve">Multi-tier advance care planning facilitation model: Core/First Steps (early planning), Advanced Steps (serious illness), and Next Steps (near end-of-life). Facilitators are trained and certified. Focus is on helping individuals articulate values, life goals, and medical care preferences.</w:t>
      </w:r>
    </w:p>
    <w:p>
      <w:pPr>
        <w:pStyle w:val="BodyText"/>
      </w:pPr>
      <w:r>
        <w:rPr>
          <w:b/>
          <w:bCs/>
        </w:rPr>
        <w:t xml:space="preserve">Format:</w:t>
      </w:r>
      <w:r>
        <w:t xml:space="preserve"> </w:t>
      </w:r>
      <w:r>
        <w:t xml:space="preserve">Facilitator certification training; individual and group delivery options.</w:t>
      </w:r>
    </w:p>
    <w:p>
      <w:pPr>
        <w:pStyle w:val="BodyText"/>
      </w:pPr>
      <w:r>
        <w:rPr>
          <w:b/>
          <w:bCs/>
        </w:rPr>
        <w:t xml:space="preserve">Availability:</w:t>
      </w:r>
      <w:r>
        <w:t xml:space="preserve"> </w:t>
      </w:r>
      <w:r>
        <w:t xml:space="preserve">Facilitator training through respectingchoices.org; implemented in clinical and community settings nationally.</w:t>
      </w:r>
    </w:p>
    <w:p>
      <w:pPr>
        <w:pStyle w:val="BodyText"/>
      </w:pPr>
      <w:r>
        <w:rPr>
          <w:b/>
          <w:bCs/>
        </w:rPr>
        <w:t xml:space="preserve">Fit assessment:</w:t>
      </w:r>
      <w:r>
        <w:t xml:space="preserve"> </w:t>
      </w:r>
      <w:r>
        <w:t xml:space="preserve">Respecting Choices is designed to expand advance care planning beyond end-of-life into earlier stages of adulthood — that framing is relevant. But the program’s core concern is medical care preferences and decision authority (who makes decisions under what circumstances), not the operational and relational arc of household sustainability. It does not address Financial, Domestic, or Emotional pillars of Household Homeostasis. It is most directly relevant to what the HIPAA Advisor will develop, not to the workshop curriculum as a whole.</w:t>
      </w:r>
    </w:p>
    <w:p>
      <w:r>
        <w:pict>
          <v:rect style="width:0;height:1.5pt" o:hralign="center" o:hrstd="t" o:hr="t"/>
        </w:pict>
      </w:r>
    </w:p>
    <w:bookmarkEnd w:id="26"/>
    <w:bookmarkEnd w:id="27"/>
    <w:bookmarkStart w:id="31" w:name="X47391610a4db3fbb9b15055396c0bca2d856e52"/>
    <w:p>
      <w:pPr>
        <w:pStyle w:val="Heading2"/>
      </w:pPr>
      <w:r>
        <w:t xml:space="preserve">Category 4: Academic and Professional Training Frameworks</w:t>
      </w:r>
    </w:p>
    <w:bookmarkStart w:id="28" w:name="X228732ebe2868ba286e06483031784fb2962828"/>
    <w:p>
      <w:pPr>
        <w:pStyle w:val="Heading3"/>
      </w:pPr>
      <w:r>
        <w:t xml:space="preserve">15. Geriatric 5Ms Framework (Age-Friendly Health Systems)</w:t>
      </w:r>
    </w:p>
    <w:p>
      <w:pPr>
        <w:pStyle w:val="FirstParagraph"/>
      </w:pPr>
      <w:r>
        <w:rPr>
          <w:b/>
          <w:bCs/>
        </w:rPr>
        <w:t xml:space="preserve">Source organization:</w:t>
      </w:r>
      <w:r>
        <w:t xml:space="preserve"> </w:t>
      </w:r>
      <w:r>
        <w:t xml:space="preserve">Institute for Healthcare Improvement (IHI) / American Geriatrics Society (AGS)</w:t>
      </w:r>
    </w:p>
    <w:p>
      <w:pPr>
        <w:pStyle w:val="BodyText"/>
      </w:pPr>
      <w:r>
        <w:rPr>
          <w:b/>
          <w:bCs/>
        </w:rPr>
        <w:t xml:space="preserve">Target audience:</w:t>
      </w:r>
      <w:r>
        <w:t xml:space="preserve"> </w:t>
      </w:r>
      <w:r>
        <w:t xml:space="preserve">Healthcare providers and health systems</w:t>
      </w:r>
    </w:p>
    <w:p>
      <w:pPr>
        <w:pStyle w:val="BodyText"/>
      </w:pPr>
      <w:r>
        <w:rPr>
          <w:b/>
          <w:bCs/>
        </w:rPr>
        <w:t xml:space="preserve">Scope:</w:t>
      </w:r>
      <w:r>
        <w:t xml:space="preserve"> </w:t>
      </w:r>
      <w:r>
        <w:t xml:space="preserve">Clinical care framework organizing geriatric medicine around five domains: Mobility, Mind, Medications, Multicomplexity, and What Matters Most.</w:t>
      </w:r>
    </w:p>
    <w:p>
      <w:pPr>
        <w:pStyle w:val="BodyText"/>
      </w:pPr>
      <w:r>
        <w:rPr>
          <w:b/>
          <w:bCs/>
        </w:rPr>
        <w:t xml:space="preserve">Format:</w:t>
      </w:r>
      <w:r>
        <w:t xml:space="preserve"> </w:t>
      </w:r>
      <w:r>
        <w:t xml:space="preserve">Clinical decision-support framework; not a community education curriculum.</w:t>
      </w:r>
    </w:p>
    <w:p>
      <w:pPr>
        <w:pStyle w:val="BodyText"/>
      </w:pPr>
      <w:r>
        <w:rPr>
          <w:b/>
          <w:bCs/>
        </w:rPr>
        <w:t xml:space="preserve">Fit assessment:</w:t>
      </w:r>
      <w:r>
        <w:t xml:space="preserve"> </w:t>
      </w:r>
      <w:r>
        <w:t xml:space="preserve">Useful as a reference framework for understanding how the clinical world organizes the terrain of aging and decline, but designed for clinical settings, not community workshops. The</w:t>
      </w:r>
      <w:r>
        <w:t xml:space="preserve"> </w:t>
      </w:r>
      <w:r>
        <w:t xml:space="preserve">“What Matters Most”</w:t>
      </w:r>
      <w:r>
        <w:t xml:space="preserve"> </w:t>
      </w:r>
      <w:r>
        <w:t xml:space="preserve">element resonates with the Homeostasis Framework’s emphasis on individualized configuration. Not usable as a workshop template.</w:t>
      </w:r>
    </w:p>
    <w:p>
      <w:r>
        <w:pict>
          <v:rect style="width:0;height:1.5pt" o:hralign="center" o:hrstd="t" o:hr="t"/>
        </w:pict>
      </w:r>
    </w:p>
    <w:bookmarkEnd w:id="28"/>
    <w:bookmarkStart w:id="29" w:name="Xb3e0d3b536a01b90ea46f9defebd7168b74d20f"/>
    <w:p>
      <w:pPr>
        <w:pStyle w:val="Heading3"/>
      </w:pPr>
      <w:r>
        <w:t xml:space="preserve">16. Comprehensive Geriatric Assessment (CGA) Frameworks</w:t>
      </w:r>
    </w:p>
    <w:p>
      <w:pPr>
        <w:pStyle w:val="FirstParagraph"/>
      </w:pPr>
      <w:r>
        <w:rPr>
          <w:b/>
          <w:bCs/>
        </w:rPr>
        <w:t xml:space="preserve">Source organization:</w:t>
      </w:r>
      <w:r>
        <w:t xml:space="preserve"> </w:t>
      </w:r>
      <w:r>
        <w:t xml:space="preserve">Standard of practice in geriatric medicine, social work, and nursing</w:t>
      </w:r>
    </w:p>
    <w:p>
      <w:pPr>
        <w:pStyle w:val="BodyText"/>
      </w:pPr>
      <w:r>
        <w:rPr>
          <w:b/>
          <w:bCs/>
        </w:rPr>
        <w:t xml:space="preserve">Target audience:</w:t>
      </w:r>
      <w:r>
        <w:t xml:space="preserve"> </w:t>
      </w:r>
      <w:r>
        <w:t xml:space="preserve">Healthcare and social work professionals</w:t>
      </w:r>
    </w:p>
    <w:p>
      <w:pPr>
        <w:pStyle w:val="BodyText"/>
      </w:pPr>
      <w:r>
        <w:rPr>
          <w:b/>
          <w:bCs/>
        </w:rPr>
        <w:t xml:space="preserve">Scope:</w:t>
      </w:r>
      <w:r>
        <w:t xml:space="preserve"> </w:t>
      </w:r>
      <w:r>
        <w:t xml:space="preserve">Multi-domain assessment covering physical health, functional status, cognitive status, psychological status, social/family support, financial situation, and environmental factors. Used to build individualized care plans.</w:t>
      </w:r>
    </w:p>
    <w:p>
      <w:pPr>
        <w:pStyle w:val="BodyText"/>
      </w:pPr>
      <w:r>
        <w:rPr>
          <w:b/>
          <w:bCs/>
        </w:rPr>
        <w:t xml:space="preserve">Format:</w:t>
      </w:r>
      <w:r>
        <w:t xml:space="preserve"> </w:t>
      </w:r>
      <w:r>
        <w:t xml:space="preserve">Professional clinical tool; not a lay curriculum.</w:t>
      </w:r>
    </w:p>
    <w:p>
      <w:pPr>
        <w:pStyle w:val="BodyText"/>
      </w:pPr>
      <w:r>
        <w:rPr>
          <w:b/>
          <w:bCs/>
        </w:rPr>
        <w:t xml:space="preserve">Fit assessment:</w:t>
      </w:r>
      <w:r>
        <w:t xml:space="preserve"> </w:t>
      </w:r>
      <w:r>
        <w:t xml:space="preserve">CGA implicitly covers all three Homeostasis Framework pillars plus the functional tier. Its domain structure — particularly the financial situation and social/family support domains — demonstrates that professionals already assess these areas when planning care. This supports the workshop’s premise that these dimensions need to be addressed before a crisis forces the assessment. Not a workshop template, but a useful map of what comprehensive decline preparation should cover.</w:t>
      </w:r>
    </w:p>
    <w:p>
      <w:r>
        <w:pict>
          <v:rect style="width:0;height:1.5pt" o:hralign="center" o:hrstd="t" o:hr="t"/>
        </w:pict>
      </w:r>
    </w:p>
    <w:bookmarkEnd w:id="29"/>
    <w:bookmarkStart w:id="30" w:name="Xe6cb4bfcfadd727df588d0e1cb6bd50f0c28444"/>
    <w:p>
      <w:pPr>
        <w:pStyle w:val="Heading3"/>
      </w:pPr>
      <w:r>
        <w:t xml:space="preserve">17. Handbook of Geriatric Care Management as Workshop Resource (Joy Loverde model)</w:t>
      </w:r>
    </w:p>
    <w:p>
      <w:pPr>
        <w:pStyle w:val="FirstParagraph"/>
      </w:pPr>
      <w:r>
        <w:t xml:space="preserve">See entry 8 above. Worth flagging separately that a book can be repurposed as a workshop resource by the right facilitator — Joy Loverde’s use of The Complete Eldercare Planner in employer and community workshops demonstrates this. The Aging Transitions Workshop may do something similar with its own materials.</w:t>
      </w:r>
    </w:p>
    <w:p>
      <w:r>
        <w:pict>
          <v:rect style="width:0;height:1.5pt" o:hralign="center" o:hrstd="t" o:hr="t"/>
        </w:pict>
      </w:r>
    </w:p>
    <w:bookmarkEnd w:id="30"/>
    <w:bookmarkEnd w:id="31"/>
    <w:bookmarkStart w:id="35" w:name="Xd6d2daa2e667f450d51e4a47066c03104872807"/>
    <w:p>
      <w:pPr>
        <w:pStyle w:val="Heading2"/>
      </w:pPr>
      <w:r>
        <w:t xml:space="preserve">Category 5: Rural and Geographically Isolated Community Programs</w:t>
      </w:r>
    </w:p>
    <w:bookmarkStart w:id="32" w:name="X3b702441714e1ba4f9dcbdd3cfcbbff8ca91dfb"/>
    <w:p>
      <w:pPr>
        <w:pStyle w:val="Heading3"/>
      </w:pPr>
      <w:r>
        <w:t xml:space="preserve">18. Rural Health Information Hub — Community Supports for Rural Aging in Place</w:t>
      </w:r>
    </w:p>
    <w:p>
      <w:pPr>
        <w:pStyle w:val="FirstParagraph"/>
      </w:pPr>
      <w:r>
        <w:rPr>
          <w:b/>
          <w:bCs/>
        </w:rPr>
        <w:t xml:space="preserve">Source organization:</w:t>
      </w:r>
      <w:r>
        <w:t xml:space="preserve"> </w:t>
      </w:r>
      <w:r>
        <w:t xml:space="preserve">Rural Health Information Hub (federally funded)</w:t>
      </w:r>
    </w:p>
    <w:p>
      <w:pPr>
        <w:pStyle w:val="BodyText"/>
      </w:pPr>
      <w:r>
        <w:rPr>
          <w:b/>
          <w:bCs/>
        </w:rPr>
        <w:t xml:space="preserve">Target audience:</w:t>
      </w:r>
      <w:r>
        <w:t xml:space="preserve"> </w:t>
      </w:r>
      <w:r>
        <w:t xml:space="preserve">Program planners, policymakers, community organizations in rural settings</w:t>
      </w:r>
    </w:p>
    <w:p>
      <w:pPr>
        <w:pStyle w:val="BodyText"/>
      </w:pPr>
      <w:r>
        <w:rPr>
          <w:b/>
          <w:bCs/>
        </w:rPr>
        <w:t xml:space="preserve">Scope:</w:t>
      </w:r>
      <w:r>
        <w:t xml:space="preserve"> </w:t>
      </w:r>
      <w:r>
        <w:t xml:space="preserve">A curated database of models and innovations for rural aging in place, including transportation, social support, care coordination, and technology approaches. Catalogs what has been tried; links to project descriptions and contact organizations.</w:t>
      </w:r>
    </w:p>
    <w:p>
      <w:pPr>
        <w:pStyle w:val="BodyText"/>
      </w:pPr>
      <w:r>
        <w:rPr>
          <w:b/>
          <w:bCs/>
        </w:rPr>
        <w:t xml:space="preserve">Format:</w:t>
      </w:r>
      <w:r>
        <w:t xml:space="preserve"> </w:t>
      </w:r>
      <w:r>
        <w:t xml:space="preserve">Online resource library; not a curriculum.</w:t>
      </w:r>
    </w:p>
    <w:p>
      <w:pPr>
        <w:pStyle w:val="BodyText"/>
      </w:pPr>
      <w:r>
        <w:rPr>
          <w:b/>
          <w:bCs/>
        </w:rPr>
        <w:t xml:space="preserve">Availability:</w:t>
      </w:r>
      <w:r>
        <w:t xml:space="preserve"> </w:t>
      </w:r>
      <w:r>
        <w:t xml:space="preserve">ruralhealthinfo.org/topics/community-living</w:t>
      </w:r>
    </w:p>
    <w:p>
      <w:pPr>
        <w:pStyle w:val="BodyText"/>
      </w:pPr>
      <w:r>
        <w:rPr>
          <w:b/>
          <w:bCs/>
        </w:rPr>
        <w:t xml:space="preserve">Fit assessment:</w:t>
      </w:r>
      <w:r>
        <w:t xml:space="preserve"> </w:t>
      </w:r>
      <w:r>
        <w:t xml:space="preserve">Useful for the Librarian building the Lopez Island resource guide. Not a curriculum. The database confirms that rural-specific aging programs exist primarily as service delivery innovations (volunteer driver networks, telehealth, community health worker models), not as community education curricula.</w:t>
      </w:r>
    </w:p>
    <w:p>
      <w:r>
        <w:pict>
          <v:rect style="width:0;height:1.5pt" o:hralign="center" o:hrstd="t" o:hr="t"/>
        </w:pict>
      </w:r>
    </w:p>
    <w:bookmarkEnd w:id="32"/>
    <w:bookmarkStart w:id="33" w:name="aging-in-community-program-north-dakota"/>
    <w:p>
      <w:pPr>
        <w:pStyle w:val="Heading3"/>
      </w:pPr>
      <w:r>
        <w:t xml:space="preserve">19. Aging in Community Program (North Dakota)</w:t>
      </w:r>
    </w:p>
    <w:p>
      <w:pPr>
        <w:pStyle w:val="FirstParagraph"/>
      </w:pPr>
      <w:r>
        <w:rPr>
          <w:b/>
          <w:bCs/>
        </w:rPr>
        <w:t xml:space="preserve">Source organization:</w:t>
      </w:r>
      <w:r>
        <w:t xml:space="preserve"> </w:t>
      </w:r>
      <w:r>
        <w:t xml:space="preserve">Rural community-based pilot; described in peer-reviewed literature</w:t>
      </w:r>
    </w:p>
    <w:p>
      <w:pPr>
        <w:pStyle w:val="BodyText"/>
      </w:pPr>
      <w:r>
        <w:rPr>
          <w:b/>
          <w:bCs/>
        </w:rPr>
        <w:t xml:space="preserve">Target audience:</w:t>
      </w:r>
      <w:r>
        <w:t xml:space="preserve"> </w:t>
      </w:r>
      <w:r>
        <w:t xml:space="preserve">Older adults in rural North Dakota communities</w:t>
      </w:r>
    </w:p>
    <w:p>
      <w:pPr>
        <w:pStyle w:val="BodyText"/>
      </w:pPr>
      <w:r>
        <w:rPr>
          <w:b/>
          <w:bCs/>
        </w:rPr>
        <w:t xml:space="preserve">Scope:</w:t>
      </w:r>
      <w:r>
        <w:t xml:space="preserve"> </w:t>
      </w:r>
      <w:r>
        <w:t xml:space="preserve">Grassroots program aimed at improving quality of life by increasing community-level support for aging in place. Participants reported improved confidence living at home, better connection to community, and improved quality of life. Peer-based; leverages existing community relationships.</w:t>
      </w:r>
    </w:p>
    <w:p>
      <w:pPr>
        <w:pStyle w:val="BodyText"/>
      </w:pPr>
      <w:r>
        <w:rPr>
          <w:b/>
          <w:bCs/>
        </w:rPr>
        <w:t xml:space="preserve">Format:</w:t>
      </w:r>
      <w:r>
        <w:t xml:space="preserve"> </w:t>
      </w:r>
      <w:r>
        <w:t xml:space="preserve">Community organizing model, not a curriculum. No publicly available facilitation guide.</w:t>
      </w:r>
    </w:p>
    <w:p>
      <w:pPr>
        <w:pStyle w:val="BodyText"/>
      </w:pPr>
      <w:r>
        <w:rPr>
          <w:b/>
          <w:bCs/>
        </w:rPr>
        <w:t xml:space="preserve">Fit assessment:</w:t>
      </w:r>
      <w:r>
        <w:t xml:space="preserve"> </w:t>
      </w:r>
      <w:r>
        <w:t xml:space="preserve">Closest thing found to a rural-specific model. The grassroots, peer-based design is instructive for Lopez Island, where social fabric is tight and formal services are limited. But there is no curriculum to adapt.</w:t>
      </w:r>
    </w:p>
    <w:p>
      <w:r>
        <w:pict>
          <v:rect style="width:0;height:1.5pt" o:hralign="center" o:hrstd="t" o:hr="t"/>
        </w:pict>
      </w:r>
    </w:p>
    <w:bookmarkEnd w:id="33"/>
    <w:bookmarkStart w:id="34" w:name="Xf14ab2cece7c178117a4658a1eedd79141b5eda"/>
    <w:p>
      <w:pPr>
        <w:pStyle w:val="Heading3"/>
      </w:pPr>
      <w:r>
        <w:t xml:space="preserve">20. Stay Strong Stay Healthy (Cooperative Extension)</w:t>
      </w:r>
    </w:p>
    <w:p>
      <w:pPr>
        <w:pStyle w:val="FirstParagraph"/>
      </w:pPr>
      <w:r>
        <w:rPr>
          <w:b/>
          <w:bCs/>
        </w:rPr>
        <w:t xml:space="preserve">Source organization:</w:t>
      </w:r>
      <w:r>
        <w:t xml:space="preserve"> </w:t>
      </w:r>
      <w:r>
        <w:t xml:space="preserve">University of Missouri Extension; replicated widely through Cooperative Extension system</w:t>
      </w:r>
    </w:p>
    <w:p>
      <w:pPr>
        <w:pStyle w:val="BodyText"/>
      </w:pPr>
      <w:r>
        <w:rPr>
          <w:b/>
          <w:bCs/>
        </w:rPr>
        <w:t xml:space="preserve">Target audience:</w:t>
      </w:r>
      <w:r>
        <w:t xml:space="preserve"> </w:t>
      </w:r>
      <w:r>
        <w:t xml:space="preserve">Older adults</w:t>
      </w:r>
    </w:p>
    <w:p>
      <w:pPr>
        <w:pStyle w:val="BodyText"/>
      </w:pPr>
      <w:r>
        <w:rPr>
          <w:b/>
          <w:bCs/>
        </w:rPr>
        <w:t xml:space="preserve">Scope:</w:t>
      </w:r>
      <w:r>
        <w:t xml:space="preserve"> </w:t>
      </w:r>
      <w:r>
        <w:t xml:space="preserve">Exercise and strength-training program; community-based; eight weekly sessions. Focus is on physical strength and balance, not on decline preparation or household sustainability.</w:t>
      </w:r>
    </w:p>
    <w:p>
      <w:pPr>
        <w:pStyle w:val="BodyText"/>
      </w:pPr>
      <w:r>
        <w:rPr>
          <w:b/>
          <w:bCs/>
        </w:rPr>
        <w:t xml:space="preserve">Format:</w:t>
      </w:r>
      <w:r>
        <w:t xml:space="preserve"> </w:t>
      </w:r>
      <w:r>
        <w:t xml:space="preserve">Group exercise program with trained leader.</w:t>
      </w:r>
    </w:p>
    <w:p>
      <w:pPr>
        <w:pStyle w:val="BodyText"/>
      </w:pPr>
      <w:r>
        <w:rPr>
          <w:b/>
          <w:bCs/>
        </w:rPr>
        <w:t xml:space="preserve">Fit assessment:</w:t>
      </w:r>
      <w:r>
        <w:t xml:space="preserve"> </w:t>
      </w:r>
      <w:r>
        <w:t xml:space="preserve">Not relevant to the Aging Transitions Workshop’s content agenda. Noted because Cooperative Extension is a widely trusted delivery channel in rural communities, and the model (community setting, peer facilitator, modest commitment) is instructive for workshop planning.</w:t>
      </w:r>
    </w:p>
    <w:p>
      <w:r>
        <w:pict>
          <v:rect style="width:0;height:1.5pt" o:hralign="center" o:hrstd="t" o:hr="t"/>
        </w:pict>
      </w:r>
    </w:p>
    <w:bookmarkEnd w:id="34"/>
    <w:bookmarkEnd w:id="35"/>
    <w:bookmarkStart w:id="36" w:name="what-was-searched-but-not-found"/>
    <w:p>
      <w:pPr>
        <w:pStyle w:val="Heading2"/>
      </w:pPr>
      <w:r>
        <w:t xml:space="preserve">What Was Searched but Not Found</w:t>
      </w:r>
    </w:p>
    <w:p>
      <w:pPr>
        <w:pStyle w:val="FirstParagraph"/>
      </w:pPr>
      <w:r>
        <w:t xml:space="preserve">The following categories were searched and yielded no usable results:</w:t>
      </w:r>
    </w:p>
    <w:p>
      <w:pPr>
        <w:numPr>
          <w:ilvl w:val="0"/>
          <w:numId w:val="1001"/>
        </w:numPr>
      </w:pPr>
      <w:r>
        <w:rPr>
          <w:b/>
          <w:bCs/>
        </w:rPr>
        <w:t xml:space="preserve">Workshop curricula designed for the aging adult themselves</w:t>
      </w:r>
      <w:r>
        <w:t xml:space="preserve"> </w:t>
      </w:r>
      <w:r>
        <w:t xml:space="preserve">(not caregiver-facing) that address the arc of decline and help participants build a personalized action plan. No such curriculum was found.</w:t>
      </w:r>
    </w:p>
    <w:p>
      <w:pPr>
        <w:numPr>
          <w:ilvl w:val="0"/>
          <w:numId w:val="1001"/>
        </w:numPr>
      </w:pPr>
      <w:r>
        <w:rPr>
          <w:b/>
          <w:bCs/>
        </w:rPr>
        <w:t xml:space="preserve">Programs that integrate all three Household Homeostasis pillars</w:t>
      </w:r>
      <w:r>
        <w:t xml:space="preserve"> </w:t>
      </w:r>
      <w:r>
        <w:t xml:space="preserve">(Financial, Domestic, and Emotional) as connected systems. Programs in this landscape address these domains separately, if at all, and none frames them as an integrated household system under the stress of decline.</w:t>
      </w:r>
    </w:p>
    <w:p>
      <w:pPr>
        <w:numPr>
          <w:ilvl w:val="0"/>
          <w:numId w:val="1001"/>
        </w:numPr>
      </w:pPr>
      <w:r>
        <w:rPr>
          <w:b/>
          <w:bCs/>
        </w:rPr>
        <w:t xml:space="preserve">Programs specifically designed for rural or island communities</w:t>
      </w:r>
      <w:r>
        <w:t xml:space="preserve"> </w:t>
      </w:r>
      <w:r>
        <w:t xml:space="preserve">with limited service infrastructure and transportation constraints. Rural-specific programs found are service delivery models (transportation networks, community health workers), not community education curricula.</w:t>
      </w:r>
    </w:p>
    <w:p>
      <w:pPr>
        <w:numPr>
          <w:ilvl w:val="0"/>
          <w:numId w:val="1001"/>
        </w:numPr>
      </w:pPr>
      <w:r>
        <w:rPr>
          <w:b/>
          <w:bCs/>
        </w:rPr>
        <w:t xml:space="preserve">Programs addressing trigger recognition</w:t>
      </w:r>
      <w:r>
        <w:t xml:space="preserve"> </w:t>
      </w:r>
      <w:r>
        <w:t xml:space="preserve">— the practical question of when a threshold has been crossed, what to watch for, and what to do when it happens. This dimension does not appear in any program found.</w:t>
      </w:r>
    </w:p>
    <w:p>
      <w:pPr>
        <w:numPr>
          <w:ilvl w:val="0"/>
          <w:numId w:val="1001"/>
        </w:numPr>
      </w:pPr>
      <w:r>
        <w:rPr>
          <w:b/>
          <w:bCs/>
        </w:rPr>
        <w:t xml:space="preserve">Programs that help participants build a support configuration specific to their household</w:t>
      </w:r>
      <w:r>
        <w:t xml:space="preserve"> </w:t>
      </w:r>
      <w:r>
        <w:t xml:space="preserve">— factoring in relationships, local resources, financial constraints, and geography. All programs found either point to generic national resources or leave this work entirely to the participant.</w:t>
      </w:r>
    </w:p>
    <w:p>
      <w:r>
        <w:pict>
          <v:rect style="width:0;height:1.5pt" o:hralign="center" o:hrstd="t" o:hr="t"/>
        </w:pict>
      </w:r>
    </w:p>
    <w:bookmarkEnd w:id="36"/>
    <w:bookmarkStart w:id="40" w:name="summary-assessment"/>
    <w:p>
      <w:pPr>
        <w:pStyle w:val="Heading2"/>
      </w:pPr>
      <w:r>
        <w:t xml:space="preserve">Summary Assessment</w:t>
      </w:r>
    </w:p>
    <w:bookmarkStart w:id="37" w:name="X330acdc6f51de44cadb5e03eef5641c90b1bed1"/>
    <w:p>
      <w:pPr>
        <w:pStyle w:val="Heading3"/>
      </w:pPr>
      <w:r>
        <w:t xml:space="preserve">Is there a usable workshop template in this landscape?</w:t>
      </w:r>
    </w:p>
    <w:p>
      <w:pPr>
        <w:pStyle w:val="FirstParagraph"/>
      </w:pPr>
      <w:r>
        <w:t xml:space="preserve">No. Clark’s observation is correct, and this search confirms it. The landscape is thin precisely in the territory the workshop is designed to address: preparation for the slow functional decline arc, from the older adult’s own perspective, addressing the operational and relational dimensions of household sustainability before a crisis forces the question.</w:t>
      </w:r>
    </w:p>
    <w:p>
      <w:pPr>
        <w:pStyle w:val="BodyText"/>
      </w:pPr>
      <w:r>
        <w:t xml:space="preserve">The programs that exist fall into two broad types, neither of which serves as a template:</w:t>
      </w:r>
    </w:p>
    <w:p>
      <w:pPr>
        <w:pStyle w:val="BodyText"/>
      </w:pPr>
      <w:r>
        <w:rPr>
          <w:b/>
          <w:bCs/>
        </w:rPr>
        <w:t xml:space="preserve">Type 1 — Caregiver-facing programs</w:t>
      </w:r>
      <w:r>
        <w:t xml:space="preserve"> </w:t>
      </w:r>
      <w:r>
        <w:t xml:space="preserve">(Powerful Tools for Caregivers, Building Better Caregivers, Nourish for Caregivers, AARP Prepare to Care, Savvy Caregiver): These help family members manage caregiving after decline is already apparent. They do not help aging adults themselves prepare in advance. Their emotional content — stress, communication, role management — is relevant to the Emotional pillar, but that is not sufficient to build a workshop from.</w:t>
      </w:r>
    </w:p>
    <w:p>
      <w:pPr>
        <w:pStyle w:val="BodyText"/>
      </w:pPr>
      <w:r>
        <w:rPr>
          <w:b/>
          <w:bCs/>
        </w:rPr>
        <w:t xml:space="preserve">Type 2 — Professional service delivery models</w:t>
      </w:r>
      <w:r>
        <w:t xml:space="preserve"> </w:t>
      </w:r>
      <w:r>
        <w:t xml:space="preserve">(CAPABLE, Comprehensive Geriatric Assessment, Handbook of Geriatric Care Management): These are the professional-world equivalent of what the workshop is trying to do. They address the full terrain of decline — functional, financial, relational, environmental — but they are not community education curricula. They require professional staff and clinical infrastructure.</w:t>
      </w:r>
    </w:p>
    <w:p>
      <w:pPr>
        <w:pStyle w:val="BodyText"/>
      </w:pPr>
      <w:r>
        <w:t xml:space="preserve">The one program that straddled both categories — the Aging Mastery Program — was the closest existing model to the Aging Transitions Workshop in format and audience (older adults themselves, multi-session, peer-supported). It was retired by NCOA in early 2025 and is no longer available.</w:t>
      </w:r>
    </w:p>
    <w:bookmarkEnd w:id="37"/>
    <w:bookmarkStart w:id="38" w:name="what-can-be-borrowed"/>
    <w:p>
      <w:pPr>
        <w:pStyle w:val="Heading3"/>
      </w:pPr>
      <w:r>
        <w:t xml:space="preserve">What can be borrowed?</w:t>
      </w:r>
    </w:p>
    <w:p>
      <w:pPr>
        <w:pStyle w:val="FirstParagraph"/>
      </w:pPr>
      <w:r>
        <w:t xml:space="preserve">Three things are usable, not as templates but as structural references:</w:t>
      </w:r>
    </w:p>
    <w:p>
      <w:pPr>
        <w:numPr>
          <w:ilvl w:val="0"/>
          <w:numId w:val="1002"/>
        </w:numPr>
      </w:pPr>
      <w:r>
        <w:rPr>
          <w:b/>
          <w:bCs/>
        </w:rPr>
        <w:t xml:space="preserve">The NRV Aging in Place Workbook + Facilitation Guide</w:t>
      </w:r>
      <w:r>
        <w:t xml:space="preserve"> </w:t>
      </w:r>
      <w:r>
        <w:t xml:space="preserve">(nrvaoa.org) — as a format model. Its workbook-plus-facilitation-guide structure, organized around household domains, with checklists and reflection questions, is the right structural approach. The content would need to be substantially rebuilt around the Homeostasis Framework, but the format and delivery model translate.</w:t>
      </w:r>
    </w:p>
    <w:p>
      <w:pPr>
        <w:numPr>
          <w:ilvl w:val="0"/>
          <w:numId w:val="1002"/>
        </w:numPr>
      </w:pPr>
      <w:r>
        <w:rPr>
          <w:b/>
          <w:bCs/>
        </w:rPr>
        <w:t xml:space="preserve">The Aging Mastery Program topic list</w:t>
      </w:r>
      <w:r>
        <w:t xml:space="preserve"> </w:t>
      </w:r>
      <w:r>
        <w:t xml:space="preserve">— as a proof of concept that a multi-session older-adult-facing curriculum covering financial, relational, and health domains can be designed and delivered. Worth reviewing AMP’s module summaries when designing the workshop session sequence.</w:t>
      </w:r>
    </w:p>
    <w:p>
      <w:pPr>
        <w:numPr>
          <w:ilvl w:val="0"/>
          <w:numId w:val="1002"/>
        </w:numPr>
      </w:pPr>
      <w:r>
        <w:rPr>
          <w:b/>
          <w:bCs/>
        </w:rPr>
        <w:t xml:space="preserve">CAPABLE’s goal-setting and action plan structure</w:t>
      </w:r>
      <w:r>
        <w:t xml:space="preserve"> </w:t>
      </w:r>
      <w:r>
        <w:t xml:space="preserve">— as a design principle for the participant action plan template. CAPABLE’s approach — identify goal areas, work backward to concrete steps, match steps to household-specific resources — is exactly what the participant action plan should do. The Template team should review CAPABLE’s goal attainment structure.</w:t>
      </w:r>
    </w:p>
    <w:bookmarkEnd w:id="38"/>
    <w:bookmarkStart w:id="39" w:name="notable-gaps-this-workshop-should-fill"/>
    <w:p>
      <w:pPr>
        <w:pStyle w:val="Heading3"/>
      </w:pPr>
      <w:r>
        <w:t xml:space="preserve">Notable gaps this workshop should fill</w:t>
      </w:r>
    </w:p>
    <w:p>
      <w:pPr>
        <w:pStyle w:val="FirstParagraph"/>
      </w:pPr>
      <w:r>
        <w:t xml:space="preserve">The following gaps are confirmed by this search:</w:t>
      </w:r>
    </w:p>
    <w:p>
      <w:pPr>
        <w:numPr>
          <w:ilvl w:val="0"/>
          <w:numId w:val="1003"/>
        </w:numPr>
      </w:pPr>
      <w:r>
        <w:rPr>
          <w:b/>
          <w:bCs/>
        </w:rPr>
        <w:t xml:space="preserve">No program addresses the decline arc from the aging adult’s own perspective.</w:t>
      </w:r>
      <w:r>
        <w:t xml:space="preserve"> </w:t>
      </w:r>
      <w:r>
        <w:t xml:space="preserve">Everything is caregiver-facing. The Aging Transitions Workshop’s choice to design for aging adults themselves — not their families — is unusually specific and fills genuine white space.</w:t>
      </w:r>
    </w:p>
    <w:p>
      <w:pPr>
        <w:numPr>
          <w:ilvl w:val="0"/>
          <w:numId w:val="1003"/>
        </w:numPr>
      </w:pPr>
      <w:r>
        <w:rPr>
          <w:b/>
          <w:bCs/>
        </w:rPr>
        <w:t xml:space="preserve">No program integrates Financial, Domestic, and Emotional household sustainability as a connected system.</w:t>
      </w:r>
      <w:r>
        <w:t xml:space="preserve"> </w:t>
      </w:r>
      <w:r>
        <w:t xml:space="preserve">Programs touch these dimensions in isolation. The Homeostasis Framework’s insistence that these three pillars are interconnected and must hold together is conceptually original.</w:t>
      </w:r>
    </w:p>
    <w:p>
      <w:pPr>
        <w:numPr>
          <w:ilvl w:val="0"/>
          <w:numId w:val="1003"/>
        </w:numPr>
      </w:pPr>
      <w:r>
        <w:rPr>
          <w:b/>
          <w:bCs/>
        </w:rPr>
        <w:t xml:space="preserve">No program addresses the island or rural constraint explicitly</w:t>
      </w:r>
      <w:r>
        <w:t xml:space="preserve"> </w:t>
      </w:r>
      <w:r>
        <w:t xml:space="preserve">— the gap between what generic resource guides list and what is actually available and accessible in a place like Lopez Island. The workshop’s local specificity is its practical differentiation.</w:t>
      </w:r>
    </w:p>
    <w:p>
      <w:pPr>
        <w:numPr>
          <w:ilvl w:val="0"/>
          <w:numId w:val="1003"/>
        </w:numPr>
      </w:pPr>
      <w:r>
        <w:rPr>
          <w:b/>
          <w:bCs/>
        </w:rPr>
        <w:t xml:space="preserve">No program addresses trigger recognition and threshold awareness</w:t>
      </w:r>
      <w:r>
        <w:t xml:space="preserve"> </w:t>
      </w:r>
      <w:r>
        <w:t xml:space="preserve">— helping participants identify what changes would signal a need to activate support, who would do what, and what resources exist to call on. This is a distinctive content gap.</w:t>
      </w:r>
    </w:p>
    <w:p>
      <w:pPr>
        <w:numPr>
          <w:ilvl w:val="0"/>
          <w:numId w:val="1003"/>
        </w:numPr>
      </w:pPr>
      <w:r>
        <w:rPr>
          <w:b/>
          <w:bCs/>
        </w:rPr>
        <w:t xml:space="preserve">The support configuration dimension</w:t>
      </w:r>
      <w:r>
        <w:t xml:space="preserve"> </w:t>
      </w:r>
      <w:r>
        <w:t xml:space="preserve">— helping participants think through the specific mix of informal (family, neighbors) and formal (paid services) support available to them, given their specific household — is unaddressed in all programs found. This is the workshop’s most distinctive and hardest-to-replicate element.</w:t>
      </w:r>
    </w:p>
    <w:p>
      <w:pPr>
        <w:pStyle w:val="FirstParagraph"/>
      </w:pPr>
      <w:r>
        <w:t xml:space="preserve">The Aging Transitions Workshop is building into genuine white space. An honest assessment of the landscape supports building the content spine from scratch, using the Homeostasis Framework as the organizing structure. The NRV Aging in Place Workbook can inform the delivery format; AMP’s topic list can inform the session sequence; CAPABLE’s goal-setting model can inform the action plan template. None of them can replace original content development.</w:t>
      </w:r>
    </w:p>
    <w:bookmarkEnd w:id="39"/>
    <w:bookmarkEnd w:id="40"/>
    <w:bookmarkEnd w:id="41"/>
    <w:sectPr w:rsidR="00CD2C16" w:rsidRPr="00CD2C16" w:rsidSect="005E5CA0">
      <w:footerReference w:type="default" r:id="rId9"/>
      <w:footnotePr>
        <w:numRestart w:val="eachSect"/>
      </w:footnotePr>
      <w:pgSz w:h="15840" w:w="12240"/>
      <w:pgMar w:bottom="1071" w:footer="720" w:gutter="0" w:header="720" w:left="1440" w:right="1440" w:top="1089"/>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Body CS)">
    <w:panose1 w:val="020B0604020202020204"/>
    <w:charset w:val="00"/>
    <w:family w:val="roman"/>
    <w:notTrueType/>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sz w:val="18"/>
      </w:rPr>
      <w:t>2607011443_CurriculumLandscape_draft1.docx</w:t>
    </w:r>
    <w:r>
      <w:rPr>
        <w:sz w:val="18"/>
      </w:rPr>
      <w:tab/>
    </w:r>
    <w:r>
      <w:rPr>
        <w:sz w:val="18"/>
      </w:rPr>
      <w:fldChar w:fldCharType="begin"/>
      <w:instrText xml:space="preserve"> PAGE </w:instrText>
      <w:fldChar w:fldCharType="end"/>
    </w:r>
    <w:r>
      <w:rPr>
        <w:sz w:val="18"/>
      </w:rPr>
      <w:t xml:space="preserve"> / </w:t>
    </w:r>
    <w:r>
      <w:rPr>
        <w:sz w:val="18"/>
      </w:rPr>
      <w:fldChar w:fldCharType="begin"/>
      <w:instrText xml:space="preserve"> NUMPAGES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9AECCD14"/>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FC8886CA"/>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493B2847"/>
    <w:multiLevelType w:val="hybridMultilevel"/>
    <w:tmpl w:val="B0CCFE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435663784" w:numId="1">
    <w:abstractNumId w:val="0"/>
  </w:num>
  <w:num w16cid:durableId="1947688820" w:numId="2">
    <w:abstractNumId w:val="0"/>
  </w:num>
  <w:num w16cid:durableId="616328264" w:numId="3">
    <w:abstractNumId w:val="1"/>
  </w:num>
  <w:num w16cid:durableId="2088305767" w:numId="4">
    <w:abstractNumId w:val="1"/>
  </w:num>
  <w:num w16cid:durableId="935480646" w:numId="5">
    <w:abstractNumId w:val="1"/>
  </w:num>
  <w:num w16cid:durableId="305475285" w:numId="6">
    <w:abstractNumId w:val="1"/>
  </w:num>
  <w:num w16cid:durableId="1865510744" w:numId="7">
    <w:abstractNumId w:val="2"/>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7F28D1"/>
    <w:rsid w:val="000B1F43"/>
    <w:rsid w:val="001747E3"/>
    <w:rsid w:val="001C4E89"/>
    <w:rsid w:val="002F2AF9"/>
    <w:rsid w:val="00462A21"/>
    <w:rsid w:val="00472650"/>
    <w:rsid w:val="005E5CA0"/>
    <w:rsid w:val="0062071B"/>
    <w:rsid w:val="00772F83"/>
    <w:rsid w:val="007F28D1"/>
    <w:rsid w:val="00916391"/>
    <w:rsid w:val="00A712C8"/>
    <w:rsid w:val="00B44EFD"/>
    <w:rsid w:val="00B87FF1"/>
    <w:rsid w:val="00CD2C16"/>
    <w:rsid w:val="00D8133E"/>
    <w:rsid w:val="00DD1F51"/>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1C4E89"/>
    <w:pPr>
      <w:keepNext/>
      <w:keepLines/>
      <w:spacing w:after="80" w:before="360"/>
      <w:outlineLvl w:val="0"/>
    </w:pPr>
    <w:rPr>
      <w:rFonts w:asciiTheme="majorHAnsi" w:cstheme="majorBidi" w:eastAsiaTheme="majorEastAsia" w:hAnsiTheme="majorHAnsi"/>
      <w:i/>
      <w:color w:themeColor="accent1" w:themeShade="BF" w:val="0F4761"/>
      <w:sz w:val="20"/>
      <w:szCs w:val="40"/>
    </w:rPr>
  </w:style>
  <w:style w:styleId="Heading2" w:type="paragraph">
    <w:name w:val="heading 2"/>
    <w:basedOn w:val="Normal"/>
    <w:next w:val="BodyText"/>
    <w:link w:val="Heading2Char"/>
    <w:uiPriority w:val="9"/>
    <w:semiHidden/>
    <w:unhideWhenUsed/>
    <w:qFormat/>
    <w:rsid w:val="005E5CA0"/>
    <w:pPr>
      <w:keepNext/>
      <w:keepLines/>
      <w:spacing w:after="0" w:before="240"/>
      <w:outlineLvl w:val="1"/>
    </w:pPr>
    <w:rPr>
      <w:rFonts w:asciiTheme="majorHAnsi" w:cstheme="majorBidi" w:eastAsiaTheme="majorEastAsia" w:hAnsiTheme="majorHAnsi"/>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5E5CA0"/>
    <w:pPr>
      <w:spacing w:after="0" w:before="120"/>
    </w:pPr>
  </w:style>
  <w:style w:customStyle="1" w:styleId="FirstParagraph" w:type="paragraph">
    <w:name w:val="First Paragraph"/>
    <w:basedOn w:val="BodyText"/>
    <w:next w:val="BodyText"/>
    <w:qFormat/>
    <w:rsid w:val="005E5CA0"/>
    <w:pPr>
      <w:spacing w:after="120" w:before="40"/>
    </w:p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1C4E89"/>
    <w:rPr>
      <w:rFonts w:asciiTheme="majorHAnsi" w:cstheme="majorBidi" w:eastAsiaTheme="majorEastAsia" w:hAnsiTheme="majorHAnsi"/>
      <w:i/>
      <w:color w:themeColor="accent1" w:themeShade="BF" w:val="0F4761"/>
      <w:sz w:val="20"/>
      <w:szCs w:val="40"/>
    </w:rPr>
  </w:style>
  <w:style w:customStyle="1" w:styleId="Heading2Char" w:type="character">
    <w:name w:val="Heading 2 Char"/>
    <w:basedOn w:val="DefaultParagraphFont"/>
    <w:link w:val="Heading2"/>
    <w:uiPriority w:val="9"/>
    <w:semiHidden/>
    <w:rsid w:val="005E5CA0"/>
    <w:rPr>
      <w:rFonts w:asciiTheme="majorHAnsi" w:cstheme="majorBidi" w:eastAsiaTheme="majorEastAsia" w:hAnsiTheme="majorHAnsi"/>
      <w:color w:themeColor="accent1" w:themeShade="BF" w:val="0F4761"/>
      <w:sz w:val="28"/>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1650</Words>
  <Characters>9408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2026-07-01T21:54:06Z</dcterms:created>
  <dcterms:modified xsi:type="dcterms:W3CDTF">2026-07-01T21:54:06Z</dcterms:modified>
</cp:coreProperties>
</file>

<file path=docProps/custom.xml><?xml version="1.0" encoding="utf-8"?>
<Properties xmlns="http://schemas.openxmlformats.org/officeDocument/2006/custom-properties" xmlns:vt="http://schemas.openxmlformats.org/officeDocument/2006/docPropsVTypes"/>
</file>