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PERSON-CENTERED PLAN OF CARE</w:t>
      </w:r>
    </w:p>
    <w:p>
      <w:pPr>
        <w:spacing w:after="40"/>
      </w:pPr>
      <w:r>
        <w:rPr>
          <w:color w:val="2E5496"/>
          <w:sz w:val="24"/>
          <w:szCs w:val="24"/>
        </w:rPr>
        <w:t xml:space="preserve">Home &amp; Community-Based Services (HCBS) — Older Adult in Functional Decline</w:t>
      </w:r>
    </w:p>
    <w:p>
      <w:pPr>
        <w:pBdr>
          <w:bottom w:val="single" w:color="2E5496" w:sz="12" w:space="2"/>
        </w:pBdr>
        <w:spacing w:after="120"/>
      </w:pPr>
      <w:r>
        <w:rPr>
          <w:color w:val="595959"/>
          <w:sz w:val="20"/>
          <w:szCs w:val="20"/>
        </w:rPr>
        <w:t xml:space="preserve">Washington State · DSHS Home &amp; Community Living Administration (HCLA) / Home &amp; Community Services (HCS)</w:t>
      </w:r>
    </w:p>
    <w:p>
      <w:pPr>
        <w:spacing w:after="100"/>
      </w:pPr>
      <w:r>
        <w:rPr>
          <w:b/>
          <w:bCs/>
          <w:sz w:val="20"/>
          <w:szCs w:val="20"/>
        </w:rPr>
        <w:t xml:space="preserve">Purpose. </w:t>
      </w:r>
      <w:r>
        <w:rPr>
          <w:sz w:val="20"/>
          <w:szCs w:val="20"/>
        </w:rPr>
        <w:t xml:space="preserve">This template structures a person-centered plan of care for an elderly client whose Activities of Daily Living, cognition, and/or health are in decline and who is seeking long-term services and supports in the home or a community residential setting (not hospice). It mirrors the domains of Washington’s </w:t>
      </w:r>
      <w:r>
        <w:rPr>
          <w:b/>
          <w:bCs/>
          <w:sz w:val="20"/>
          <w:szCs w:val="20"/>
        </w:rPr>
        <w:t xml:space="preserve">CARE</w:t>
      </w:r>
      <w:r>
        <w:rPr>
          <w:sz w:val="20"/>
          <w:szCs w:val="20"/>
        </w:rPr>
        <w:t xml:space="preserve"> (Comprehensive Assessment Reporting Evaluation) assessment and the federal person-centered planning requirements at 42 CFR §441.301(c).</w:t>
      </w:r>
    </w:p>
    <w:p>
      <w:pPr>
        <w:spacing w:after="120" w:before="40"/>
      </w:pPr>
      <w:r>
        <w:rPr>
          <w:i/>
          <w:iCs/>
          <w:color w:val="595959"/>
          <w:sz w:val="18"/>
          <w:szCs w:val="18"/>
        </w:rPr>
        <w:t xml:space="preserve">How to use: complete every applicable field per client. Shaded labels are fixed; open cells are for entry. Eligibility for waiver services rests on functional need (Nursing Facility Level of Care), not diagnosis alone. Configure against the current ALTSA/HCS Long-Term Care Manual and Chapter 388-106 WAC, which control.</w:t>
      </w:r>
    </w:p>
    <w:p>
      <w:pPr>
        <w:pBdr>
          <w:bottom w:val="single" w:color="2E5496" w:sz="8" w:space="2"/>
        </w:pBdr>
        <w:shd w:fill="D9E2F3" w:val="clear"/>
        <w:spacing w:after="120" w:before="240"/>
      </w:pPr>
      <w:r>
        <w:rPr>
          <w:b/>
          <w:bCs/>
          <w:color w:val="1F3864"/>
          <w:sz w:val="24"/>
          <w:szCs w:val="24"/>
        </w:rPr>
        <w:t xml:space="preserve">  1.  </w:t>
      </w:r>
      <w:r>
        <w:rPr>
          <w:b/>
          <w:bCs/>
          <w:color w:val="1F3864"/>
          <w:sz w:val="24"/>
          <w:szCs w:val="24"/>
        </w:rPr>
        <w:t xml:space="preserve">CLIENT &amp; ASSESSMENT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Client name</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Last, First, MI</w:t>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Date of birth / Age</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ProviderOne / Medicaid ID</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Address &amp; phone</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Residence where services are delivered</w:t>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Emergency contact(s)</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Name, relationship, phone</w:t>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Authorized representative</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If any — name, relationship, authority (per WAC 388-106-0010)</w:t>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Preferred language / interpreter</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Note Necessary Supplemental Accommodation (NSA), WAC 388-472-0020, if needed</w:t>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Case manager / assessor</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Name, office (HCS or Area Agency on Aging)</w:t>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Assessment date / Next review</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
            </w:r>
          </w:p>
        </w:tc>
      </w:tr>
    </w:tbl>
    <w:p>
      <w:pPr>
        <w:spacing w:after="60"/>
      </w:pPr>
      <w:r>
        <w:t xml:space="preserve"/>
      </w:r>
    </w:p>
    <w:p>
      <w:pPr>
        <w:spacing w:after="60" w:before="140"/>
      </w:pPr>
      <w:r>
        <w:rPr>
          <w:b/>
          <w:bCs/>
          <w:color w:val="2E5496"/>
          <w:sz w:val="21"/>
          <w:szCs w:val="21"/>
        </w:rPr>
        <w:t xml:space="preserve">Assessment type</w:t>
      </w:r>
    </w:p>
    <w:p>
      <w:pPr>
        <w:spacing w:after="60"/>
      </w:pPr>
      <w:r>
        <w:rPr>
          <w:sz w:val="22"/>
          <w:szCs w:val="22"/>
        </w:rPr>
        <w:t xml:space="preserve">☐ </w:t>
      </w:r>
      <w:r>
        <w:rPr>
          <w:sz w:val="22"/>
          <w:szCs w:val="22"/>
        </w:rPr>
        <w:t xml:space="preserve">Initial      </w:t>
      </w:r>
      <w:r>
        <w:rPr>
          <w:sz w:val="22"/>
          <w:szCs w:val="22"/>
        </w:rPr>
        <w:t xml:space="preserve">☐ </w:t>
      </w:r>
      <w:r>
        <w:rPr>
          <w:sz w:val="22"/>
          <w:szCs w:val="22"/>
        </w:rPr>
        <w:t xml:space="preserve">Initial / Reapply      </w:t>
      </w:r>
      <w:r>
        <w:rPr>
          <w:sz w:val="22"/>
          <w:szCs w:val="22"/>
        </w:rPr>
        <w:t xml:space="preserve">☐ </w:t>
      </w:r>
      <w:r>
        <w:rPr>
          <w:sz w:val="22"/>
          <w:szCs w:val="22"/>
        </w:rPr>
        <w:t xml:space="preserve">Annual      </w:t>
      </w:r>
      <w:r>
        <w:rPr>
          <w:sz w:val="22"/>
          <w:szCs w:val="22"/>
        </w:rPr>
        <w:t xml:space="preserve">☐ </w:t>
      </w:r>
      <w:r>
        <w:rPr>
          <w:sz w:val="22"/>
          <w:szCs w:val="22"/>
        </w:rPr>
        <w:t xml:space="preserve">Significant Change      </w:t>
      </w:r>
      <w:r>
        <w:rPr>
          <w:sz w:val="22"/>
          <w:szCs w:val="22"/>
        </w:rPr>
        <w:t xml:space="preserve">☐ </w:t>
      </w:r>
      <w:r>
        <w:rPr>
          <w:sz w:val="22"/>
          <w:szCs w:val="22"/>
        </w:rPr>
        <w:t xml:space="preserve">Interim / Provisional</w:t>
      </w:r>
    </w:p>
    <w:p>
      <w:pPr>
        <w:spacing w:after="120" w:before="40"/>
      </w:pPr>
      <w:r>
        <w:rPr>
          <w:i/>
          <w:iCs/>
          <w:color w:val="595959"/>
          <w:sz w:val="18"/>
          <w:szCs w:val="18"/>
        </w:rPr>
        <w:t xml:space="preserve">A face-to-face Significant Change reassessment is required whenever there is a reported change, for better or worse, in the client’s cognition, mood/behavior, ADLs, or medical condition.</w:t>
      </w:r>
    </w:p>
    <w:p>
      <w:pPr>
        <w:pBdr>
          <w:bottom w:val="single" w:color="2E5496" w:sz="8" w:space="2"/>
        </w:pBdr>
        <w:shd w:fill="D9E2F3" w:val="clear"/>
        <w:spacing w:after="120" w:before="240"/>
      </w:pPr>
      <w:r>
        <w:rPr>
          <w:b/>
          <w:bCs/>
          <w:color w:val="1F3864"/>
          <w:sz w:val="24"/>
          <w:szCs w:val="24"/>
        </w:rPr>
        <w:t xml:space="preserve">  2.  </w:t>
      </w:r>
      <w:r>
        <w:rPr>
          <w:b/>
          <w:bCs/>
          <w:color w:val="1F3864"/>
          <w:sz w:val="24"/>
          <w:szCs w:val="24"/>
        </w:rPr>
        <w:t xml:space="preserve">PROGRAM &amp; FUNCTIONAL ELIGIBILITY (LEVEL OF CARE)</w:t>
      </w:r>
    </w:p>
    <w:p>
      <w:pPr>
        <w:spacing w:after="60" w:before="140"/>
      </w:pPr>
      <w:r>
        <w:rPr>
          <w:b/>
          <w:bCs/>
          <w:color w:val="2E5496"/>
          <w:sz w:val="21"/>
          <w:szCs w:val="21"/>
        </w:rPr>
        <w:t xml:space="preserve">Program(s) under consideration / authorized</w:t>
      </w:r>
    </w:p>
    <w:p>
      <w:pPr>
        <w:spacing w:after="60"/>
      </w:pPr>
      <w:r>
        <w:rPr>
          <w:sz w:val="22"/>
          <w:szCs w:val="22"/>
        </w:rPr>
        <w:t xml:space="preserve">☐ </w:t>
      </w:r>
      <w:r>
        <w:rPr>
          <w:sz w:val="22"/>
          <w:szCs w:val="22"/>
        </w:rPr>
        <w:t xml:space="preserve">COPES (1915(c) waiver)      </w:t>
      </w:r>
      <w:r>
        <w:rPr>
          <w:sz w:val="22"/>
          <w:szCs w:val="22"/>
        </w:rPr>
        <w:t xml:space="preserve">☐ </w:t>
      </w:r>
      <w:r>
        <w:rPr>
          <w:sz w:val="22"/>
          <w:szCs w:val="22"/>
        </w:rPr>
        <w:t xml:space="preserve">Community First Choice / CFC (1915(k))      </w:t>
      </w:r>
      <w:r>
        <w:rPr>
          <w:sz w:val="22"/>
          <w:szCs w:val="22"/>
        </w:rPr>
        <w:t xml:space="preserve">☐ </w:t>
      </w:r>
      <w:r>
        <w:rPr>
          <w:sz w:val="22"/>
          <w:szCs w:val="22"/>
        </w:rPr>
        <w:t xml:space="preserve">Medicaid Personal Care / MPC</w:t>
      </w:r>
    </w:p>
    <w:p>
      <w:pPr>
        <w:spacing w:after="60"/>
      </w:pPr>
      <w:r>
        <w:rPr>
          <w:sz w:val="22"/>
          <w:szCs w:val="22"/>
        </w:rPr>
        <w:t xml:space="preserve">☐ </w:t>
      </w:r>
      <w:r>
        <w:rPr>
          <w:sz w:val="22"/>
          <w:szCs w:val="22"/>
        </w:rPr>
        <w:t xml:space="preserve">MAC – Medicaid Alternative Care      </w:t>
      </w:r>
      <w:r>
        <w:rPr>
          <w:sz w:val="22"/>
          <w:szCs w:val="22"/>
        </w:rPr>
        <w:t xml:space="preserve">☐ </w:t>
      </w:r>
      <w:r>
        <w:rPr>
          <w:sz w:val="22"/>
          <w:szCs w:val="22"/>
        </w:rPr>
        <w:t xml:space="preserve">TSOA – Tailored Supports for Older Adults      </w:t>
      </w:r>
      <w:r>
        <w:rPr>
          <w:sz w:val="22"/>
          <w:szCs w:val="22"/>
        </w:rPr>
        <w:t xml:space="preserve">☐ </w:t>
      </w:r>
      <w:r>
        <w:rPr>
          <w:sz w:val="22"/>
          <w:szCs w:val="22"/>
        </w:rPr>
        <w:t xml:space="preserve">PACE      </w:t>
      </w:r>
      <w:r>
        <w:rPr>
          <w:sz w:val="22"/>
          <w:szCs w:val="22"/>
        </w:rPr>
        <w:t xml:space="preserve">☐ </w:t>
      </w:r>
      <w:r>
        <w:rPr>
          <w:sz w:val="22"/>
          <w:szCs w:val="22"/>
        </w:rPr>
        <w:t xml:space="preserve">New Freedom      </w:t>
      </w:r>
      <w:r>
        <w:rPr>
          <w:sz w:val="22"/>
          <w:szCs w:val="22"/>
        </w:rPr>
        <w:t xml:space="preserve">☐ </w:t>
      </w:r>
      <w:r>
        <w:rPr>
          <w:sz w:val="22"/>
          <w:szCs w:val="22"/>
        </w:rPr>
        <w:t xml:space="preserve">RSW</w:t>
      </w:r>
    </w:p>
    <w:p>
      <w:pPr>
        <w:spacing w:after="120" w:before="40"/>
      </w:pPr>
      <w:r>
        <w:rPr>
          <w:i/>
          <w:iCs/>
          <w:color w:val="595959"/>
          <w:sz w:val="18"/>
          <w:szCs w:val="18"/>
        </w:rPr>
        <w:t xml:space="preserve">COPES and CFC require Nursing Facility Level of Care (NFLOC). CFC is an entitlement (no waiver waitlist); COPES has limited slots. MAC/TSOA serve clients at NFLOC who are not yet on full Medicaid and their unpaid caregivers. Confirm financial eligibility separately with the financial worker.</w:t>
      </w:r>
    </w:p>
    <w:p>
      <w:pPr>
        <w:spacing w:after="60" w:before="140"/>
      </w:pPr>
      <w:r>
        <w:rPr>
          <w:b/>
          <w:bCs/>
          <w:color w:val="2E5496"/>
          <w:sz w:val="21"/>
          <w:szCs w:val="21"/>
        </w:rPr>
        <w:t xml:space="preserve">Nursing Facility Level of Care (NFLOC) determination — WAC 388-106-0355</w:t>
      </w:r>
    </w:p>
    <w:p>
      <w:pPr>
        <w:spacing w:after="120" w:before="40"/>
      </w:pPr>
      <w:r>
        <w:rPr>
          <w:i/>
          <w:iCs/>
          <w:color w:val="595959"/>
          <w:sz w:val="18"/>
          <w:szCs w:val="18"/>
        </w:rPr>
        <w:t xml:space="preserve">NFLOC is established by functional need. Check each pathway that is met; at least one must be met for waiver/CFC eligibility.</w:t>
      </w:r>
    </w:p>
    <w:p>
      <w:pPr>
        <w:spacing w:after="40"/>
      </w:pPr>
      <w:r>
        <w:rPr>
          <w:sz w:val="22"/>
          <w:szCs w:val="22"/>
        </w:rPr>
        <w:t xml:space="preserve">☐ </w:t>
      </w:r>
      <w:r>
        <w:rPr>
          <w:sz w:val="22"/>
          <w:szCs w:val="22"/>
        </w:rPr>
        <w:t xml:space="preserve">Pathway A — Requires daily nursing care</w:t>
      </w:r>
    </w:p>
    <w:p>
      <w:pPr>
        <w:spacing w:after="40"/>
      </w:pPr>
      <w:r>
        <w:rPr>
          <w:sz w:val="22"/>
          <w:szCs w:val="22"/>
        </w:rPr>
        <w:t xml:space="preserve">☐ </w:t>
      </w:r>
      <w:r>
        <w:rPr>
          <w:sz w:val="22"/>
          <w:szCs w:val="22"/>
        </w:rPr>
        <w:t xml:space="preserve">Pathway B — ADL need: substantial assistance with ≥ 2 ADLs, OR some assistance with ≥ 3 ADLs</w:t>
      </w:r>
    </w:p>
    <w:p>
      <w:pPr>
        <w:spacing w:after="40"/>
      </w:pPr>
      <w:r>
        <w:rPr>
          <w:sz w:val="22"/>
          <w:szCs w:val="22"/>
        </w:rPr>
        <w:t xml:space="preserve">☐ </w:t>
      </w:r>
      <w:r>
        <w:rPr>
          <w:sz w:val="22"/>
          <w:szCs w:val="22"/>
        </w:rPr>
        <w:t xml:space="preserve">Pathway C — Cognitive need: requires supervision due to cognitive impairment AND substantial assistance with ≥ 1 ADL</w:t>
      </w:r>
    </w:p>
    <w:p>
      <w:pPr>
        <w:shd w:fill="EDF1F8" w:val="clear"/>
        <w:spacing w:after="80" w:before="60"/>
      </w:pPr>
      <w:r>
        <w:rPr>
          <w:b/>
          <w:bCs/>
          <w:color w:val="1F3864"/>
          <w:sz w:val="20"/>
          <w:szCs w:val="20"/>
        </w:rPr>
        <w:t xml:space="preserve">  Note: </w:t>
      </w:r>
      <w:r>
        <w:rPr>
          <w:color w:val="1F3864"/>
          <w:sz w:val="20"/>
          <w:szCs w:val="20"/>
        </w:rPr>
        <w:t xml:space="preserve">A diagnosis of dementia (or any diagnosis) in and of itself does not establish NFLOC — document the functional impact.</w:t>
      </w:r>
    </w:p>
    <w:p>
      <w:pPr>
        <w:spacing w:after="40"/>
      </w:pPr>
      <w:r>
        <w:t xml:space="preserve"/>
      </w:r>
    </w:p>
    <w:p>
      <w:pPr>
        <w:spacing w:after="60" w:before="140"/>
      </w:pPr>
      <w:r>
        <w:rPr>
          <w:b/>
          <w:bCs/>
          <w:color w:val="2E5496"/>
          <w:sz w:val="21"/>
          <w:szCs w:val="21"/>
        </w:rPr>
        <w:t xml:space="preserve">CARE classification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Cognitive Performance Score (CPS)</w:t>
            </w:r>
          </w:p>
        </w:tc>
        <w:tc>
          <w:tcPr>
            <w:tcW w:type="dxa" w:w="59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WAC 388-106-0090</w:t>
            </w:r>
          </w:p>
        </w:tc>
      </w:tr>
      <w:tr>
        <w:tc>
          <w:tcPr>
            <w:tcW w:type="dxa" w:w="34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Clinical complexity met?</w:t>
            </w:r>
          </w:p>
        </w:tc>
        <w:tc>
          <w:tcPr>
            <w:tcW w:type="dxa" w:w="59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Yes / No — WAC 388-106-0095 (condition + minimum ADL score)</w:t>
            </w:r>
          </w:p>
        </w:tc>
      </w:tr>
      <w:tr>
        <w:tc>
          <w:tcPr>
            <w:tcW w:type="dxa" w:w="34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Mood / behavior qualification &amp; points</w:t>
            </w:r>
          </w:p>
        </w:tc>
        <w:tc>
          <w:tcPr>
            <w:tcW w:type="dxa" w:w="59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WAC 388-106-0100</w:t>
            </w:r>
          </w:p>
        </w:tc>
      </w:tr>
      <w:tr>
        <w:tc>
          <w:tcPr>
            <w:tcW w:type="dxa" w:w="34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ADL score</w:t>
            </w:r>
          </w:p>
        </w:tc>
        <w:tc>
          <w:tcPr>
            <w:tcW w:type="dxa" w:w="59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WAC 388-106-0105</w:t>
            </w:r>
          </w:p>
        </w:tc>
      </w:tr>
      <w:tr>
        <w:tc>
          <w:tcPr>
            <w:tcW w:type="dxa" w:w="34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Exceptional care met?</w:t>
            </w:r>
          </w:p>
        </w:tc>
        <w:tc>
          <w:tcPr>
            <w:tcW w:type="dxa" w:w="59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Yes / No — WAC 388-106-0110</w:t>
            </w:r>
          </w:p>
        </w:tc>
      </w:tr>
      <w:tr>
        <w:tc>
          <w:tcPr>
            <w:tcW w:type="dxa" w:w="34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Classification Group (A–E) &amp; sub-group</w:t>
            </w:r>
          </w:p>
        </w:tc>
        <w:tc>
          <w:tcPr>
            <w:tcW w:type="dxa" w:w="59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WAC 388-106-0115 (residential) / -0125 (in-home)</w:t>
            </w:r>
          </w:p>
        </w:tc>
      </w:tr>
      <w:tr>
        <w:tc>
          <w:tcPr>
            <w:tcW w:type="dxa" w:w="34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Base hours authorized</w:t>
            </w:r>
          </w:p>
        </w:tc>
        <w:tc>
          <w:tcPr>
            <w:tcW w:type="dxa" w:w="59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
            </w:r>
          </w:p>
        </w:tc>
      </w:tr>
    </w:tbl>
    <w:p>
      <w:pPr>
        <w:pageBreakBefore/>
        <w:spacing w:after="0"/>
      </w:pPr>
      <w:r>
        <w:t xml:space="preserve"/>
      </w:r>
    </w:p>
    <w:p>
      <w:pPr>
        <w:pBdr>
          <w:bottom w:val="single" w:color="2E5496" w:sz="8" w:space="2"/>
        </w:pBdr>
        <w:shd w:fill="D9E2F3" w:val="clear"/>
        <w:spacing w:after="120" w:before="240"/>
      </w:pPr>
      <w:r>
        <w:rPr>
          <w:b/>
          <w:bCs/>
          <w:color w:val="1F3864"/>
          <w:sz w:val="24"/>
          <w:szCs w:val="24"/>
        </w:rPr>
        <w:t xml:space="preserve">  3.  </w:t>
      </w:r>
      <w:r>
        <w:rPr>
          <w:b/>
          <w:bCs/>
          <w:color w:val="1F3864"/>
          <w:sz w:val="24"/>
          <w:szCs w:val="24"/>
        </w:rPr>
        <w:t xml:space="preserve">FUNCTIONAL STATUS — ADLS &amp; IADLS</w:t>
      </w:r>
    </w:p>
    <w:p>
      <w:pPr>
        <w:spacing w:after="120" w:before="40"/>
      </w:pPr>
      <w:r>
        <w:rPr>
          <w:i/>
          <w:iCs/>
          <w:color w:val="595959"/>
          <w:sz w:val="18"/>
          <w:szCs w:val="18"/>
        </w:rPr>
        <w:t xml:space="preserve">For each task, code self-performance, support provided, status, and assistance available, and whether informal support meets the need (Met / Partially met / Unmet). Mark the trigger box where the task drives the plan.</w:t>
      </w:r>
    </w:p>
    <w:p>
      <w:pPr>
        <w:spacing w:after="60" w:before="140"/>
      </w:pPr>
      <w:r>
        <w:rPr>
          <w:b/>
          <w:bCs/>
          <w:color w:val="2E5496"/>
          <w:sz w:val="21"/>
          <w:szCs w:val="21"/>
        </w:rPr>
        <w:t xml:space="preserve">Activities of Daily Living (ADL)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2300"/>
        <w:gridCol w:w="2900"/>
        <w:gridCol w:w="900"/>
      </w:tblGrid>
      <w:tr>
        <w:trPr>
          <w:tblHeader/>
        </w:trPr>
        <w:tc>
          <w:tcPr>
            <w:tcW w:type="dxa" w:w="326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Activity of Daily Living</w:t>
            </w:r>
          </w:p>
        </w:tc>
        <w:tc>
          <w:tcPr>
            <w:tcW w:type="dxa" w:w="23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Self-performance / support</w:t>
            </w:r>
          </w:p>
        </w:tc>
        <w:tc>
          <w:tcPr>
            <w:tcW w:type="dxa" w:w="29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Informal support (Met/Part/Unmet)</w:t>
            </w:r>
          </w:p>
        </w:tc>
        <w:tc>
          <w:tcPr>
            <w:tcW w:type="dxa" w:w="9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Flag</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Bed mobility</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Transfer</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Locomotion in room / living area</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Locomotion outside</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Eating</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Toilet use</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Toileting / personal hygiene</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Bathing</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Dressing</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Medication management</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bl>
    <w:p>
      <w:pPr>
        <w:spacing w:after="80"/>
      </w:pPr>
      <w:r>
        <w:t xml:space="preserve"/>
      </w:r>
    </w:p>
    <w:p>
      <w:pPr>
        <w:spacing w:after="60" w:before="140"/>
      </w:pPr>
      <w:r>
        <w:rPr>
          <w:b/>
          <w:bCs/>
          <w:color w:val="2E5496"/>
          <w:sz w:val="21"/>
          <w:szCs w:val="21"/>
        </w:rPr>
        <w:t xml:space="preserve">Instrumental Activities of Daily Living (IADL)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2300"/>
        <w:gridCol w:w="2900"/>
        <w:gridCol w:w="900"/>
      </w:tblGrid>
      <w:tr>
        <w:trPr>
          <w:tblHeader/>
        </w:trPr>
        <w:tc>
          <w:tcPr>
            <w:tcW w:type="dxa" w:w="326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Instrumental ADL</w:t>
            </w:r>
          </w:p>
        </w:tc>
        <w:tc>
          <w:tcPr>
            <w:tcW w:type="dxa" w:w="23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Self-performance / support</w:t>
            </w:r>
          </w:p>
        </w:tc>
        <w:tc>
          <w:tcPr>
            <w:tcW w:type="dxa" w:w="29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Informal support (Met/Part/Unmet)</w:t>
            </w:r>
          </w:p>
        </w:tc>
        <w:tc>
          <w:tcPr>
            <w:tcW w:type="dxa" w:w="9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Flag</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Meal preparation</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Ordinary housework</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Essential shopping</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Travel / transportation</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Telephone / communication</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Managing finances</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Managing medications</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2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Wood supply / heat (if applicable)</w:t>
            </w:r>
          </w:p>
        </w:tc>
        <w:tc>
          <w:tcPr>
            <w:tcW w:type="dxa" w:w="23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9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bl>
    <w:p>
      <w:pPr>
        <w:spacing w:after="60"/>
      </w:pPr>
      <w:r>
        <w:t xml:space="preserve"/>
      </w:r>
    </w:p>
    <w:p>
      <w:pPr>
        <w:spacing w:after="80"/>
      </w:pPr>
      <w:r>
        <w:rPr>
          <w:b w:val="false"/>
          <w:bCs w:val="false"/>
          <w:sz w:val="22"/>
          <w:szCs w:val="22"/>
        </w:rPr>
        <w:t xml:space="preserve">Assistive devices / mobility equipment in use:  </w:t>
      </w:r>
      <w:r>
        <w:rPr>
          <w:color w:val="595959"/>
          <w:sz w:val="22"/>
          <w:szCs w:val="22"/>
        </w:rPr>
        <w:t xml:space="preserve">______________________________________________________________________</w:t>
      </w:r>
    </w:p>
    <w:p>
      <w:pPr>
        <w:spacing w:after="80"/>
      </w:pPr>
      <w:r>
        <w:rPr>
          <w:b w:val="false"/>
          <w:bCs w:val="false"/>
          <w:sz w:val="22"/>
          <w:szCs w:val="22"/>
        </w:rPr>
        <w:t xml:space="preserve">Summary of functional decline since last assessment:  </w:t>
      </w:r>
      <w:r>
        <w:rPr>
          <w:color w:val="595959"/>
          <w:sz w:val="22"/>
          <w:szCs w:val="22"/>
        </w:rPr>
        <w:t xml:space="preserve">________________________________________________________________</w:t>
      </w:r>
    </w:p>
    <w:p>
      <w:pPr>
        <w:pBdr>
          <w:bottom w:val="single" w:color="2E5496" w:sz="8" w:space="2"/>
        </w:pBdr>
        <w:shd w:fill="D9E2F3" w:val="clear"/>
        <w:spacing w:after="120" w:before="240"/>
      </w:pPr>
      <w:r>
        <w:rPr>
          <w:b/>
          <w:bCs/>
          <w:color w:val="1F3864"/>
          <w:sz w:val="24"/>
          <w:szCs w:val="24"/>
        </w:rPr>
        <w:t xml:space="preserve">  4.  </w:t>
      </w:r>
      <w:r>
        <w:rPr>
          <w:b/>
          <w:bCs/>
          <w:color w:val="1F3864"/>
          <w:sz w:val="24"/>
          <w:szCs w:val="24"/>
        </w:rPr>
        <w:t xml:space="preserve">COGNITION &amp;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Cognitive screen (MMSE / other)</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Tool used &amp; score</w:t>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Short- &amp; long-term memory</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Intact / impaired — describe</w:t>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Decision-making / judgment</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Independent / modified / poor</w:t>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Cognitive Performance Score (CPS)</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0–6</w:t>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Diagnosed cognitive condition</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e.g., Alzheimer’s / related dementia / MCI — if any (supporting context only)</w:t>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Wandering / exit-seeking / safety risk</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Describe supervision need</w:t>
            </w:r>
          </w:p>
        </w:tc>
      </w:tr>
    </w:tbl>
    <w:p>
      <w:pPr>
        <w:spacing w:after="120" w:before="40"/>
      </w:pPr>
      <w:r>
        <w:rPr>
          <w:i/>
          <w:iCs/>
          <w:color w:val="595959"/>
          <w:sz w:val="18"/>
          <w:szCs w:val="18"/>
        </w:rPr>
        <w:t xml:space="preserve">Capture how cognition affects daily function and supervision needs — this drives the Pathway C level-of-care determination and supervision in the plan.</w:t>
      </w:r>
    </w:p>
    <w:p>
      <w:pPr>
        <w:pBdr>
          <w:bottom w:val="single" w:color="2E5496" w:sz="8" w:space="2"/>
        </w:pBdr>
        <w:shd w:fill="D9E2F3" w:val="clear"/>
        <w:spacing w:after="120" w:before="240"/>
      </w:pPr>
      <w:r>
        <w:rPr>
          <w:b/>
          <w:bCs/>
          <w:color w:val="1F3864"/>
          <w:sz w:val="24"/>
          <w:szCs w:val="24"/>
        </w:rPr>
        <w:t xml:space="preserve">  5.  </w:t>
      </w:r>
      <w:r>
        <w:rPr>
          <w:b/>
          <w:bCs/>
          <w:color w:val="1F3864"/>
          <w:sz w:val="24"/>
          <w:szCs w:val="24"/>
        </w:rPr>
        <w:t xml:space="preserve">MOOD, BEHAVIOR &amp; PSYCHOSOCIAL</w:t>
      </w:r>
    </w:p>
    <w:p>
      <w:pPr>
        <w:spacing w:after="60" w:before="140"/>
      </w:pPr>
      <w:r>
        <w:rPr>
          <w:b/>
          <w:bCs/>
          <w:color w:val="2E5496"/>
          <w:sz w:val="21"/>
          <w:szCs w:val="21"/>
        </w:rPr>
        <w:t xml:space="preserve">Mood / depression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Depression screen (PHQ-9 / other)</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Tool &amp; score; note any indicators of distress</w:t>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Suicide risk screen</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Complete per protocol if indicated; document follow-up</w:t>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Sleep</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Pattern / disturbance</w:t>
            </w:r>
          </w:p>
        </w:tc>
      </w:tr>
    </w:tbl>
    <w:p>
      <w:pPr>
        <w:spacing w:after="60" w:before="140"/>
      </w:pPr>
      <w:r>
        <w:rPr>
          <w:b/>
          <w:bCs/>
          <w:color w:val="2E5496"/>
          <w:sz w:val="21"/>
          <w:szCs w:val="21"/>
        </w:rPr>
        <w:t xml:space="preserve">Behaviors (current / past)</w:t>
      </w:r>
    </w:p>
    <w:p>
      <w:pPr>
        <w:spacing w:after="120" w:before="40"/>
      </w:pPr>
      <w:r>
        <w:rPr>
          <w:i/>
          <w:iCs/>
          <w:color w:val="595959"/>
          <w:sz w:val="18"/>
          <w:szCs w:val="18"/>
        </w:rPr>
        <w:t xml:space="preserve">Note presence, frequency, severity, and alterability for behaviors contributing to behavior points (WAC 388-106-0100), e.g., wandering, verbal/physical aggression, resistiveness to care, disrobing, hallucinations/delusions.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700"/>
        <w:gridCol w:w="2660"/>
      </w:tblGrid>
      <w:tr>
        <w:trPr>
          <w:tblHeader/>
        </w:trPr>
        <w:tc>
          <w:tcPr>
            <w:tcW w:type="dxa" w:w="26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Behavior</w:t>
            </w:r>
          </w:p>
        </w:tc>
        <w:tc>
          <w:tcPr>
            <w:tcW w:type="dxa" w:w="24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Frequency / severity</w:t>
            </w:r>
          </w:p>
        </w:tc>
        <w:tc>
          <w:tcPr>
            <w:tcW w:type="dxa" w:w="17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Current or past</w:t>
            </w:r>
          </w:p>
        </w:tc>
        <w:tc>
          <w:tcPr>
            <w:tcW w:type="dxa" w:w="266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Intervention/approach</w:t>
            </w:r>
          </w:p>
        </w:tc>
      </w:tr>
      <w:tr>
        <w:tc>
          <w:tcPr>
            <w:tcW w:type="dxa" w:w="260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
            </w:r>
          </w:p>
        </w:tc>
        <w:tc>
          <w:tcPr>
            <w:tcW w:type="dxa" w:w="24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7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6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260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
            </w:r>
          </w:p>
        </w:tc>
        <w:tc>
          <w:tcPr>
            <w:tcW w:type="dxa" w:w="24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7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6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260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
            </w:r>
          </w:p>
        </w:tc>
        <w:tc>
          <w:tcPr>
            <w:tcW w:type="dxa" w:w="24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7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6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bl>
    <w:p>
      <w:pPr>
        <w:spacing w:after="60" w:before="140"/>
      </w:pPr>
      <w:r>
        <w:rPr>
          <w:b/>
          <w:bCs/>
          <w:color w:val="2E5496"/>
          <w:sz w:val="21"/>
          <w:szCs w:val="21"/>
        </w:rPr>
        <w:t xml:space="preserve">Psychosocial / relationships / interests</w:t>
      </w:r>
    </w:p>
    <w:p>
      <w:pPr>
        <w:spacing w:after="80"/>
      </w:pPr>
      <w:r>
        <w:rPr>
          <w:b w:val="false"/>
          <w:bCs w:val="false"/>
          <w:sz w:val="22"/>
          <w:szCs w:val="22"/>
        </w:rPr>
        <w:t xml:space="preserve">Social supports, relationships, isolation, meaningful activities &amp; interests:  </w:t>
      </w:r>
      <w:r>
        <w:rPr>
          <w:color w:val="595959"/>
          <w:sz w:val="22"/>
          <w:szCs w:val="22"/>
        </w:rPr>
        <w:t xml:space="preserve">____________________________________________________</w:t>
      </w:r>
    </w:p>
    <w:p>
      <w:pPr>
        <w:pageBreakBefore/>
        <w:spacing w:after="0"/>
      </w:pPr>
      <w:r>
        <w:t xml:space="preserve"/>
      </w:r>
    </w:p>
    <w:p>
      <w:pPr>
        <w:pBdr>
          <w:bottom w:val="single" w:color="2E5496" w:sz="8" w:space="2"/>
        </w:pBdr>
        <w:shd w:fill="D9E2F3" w:val="clear"/>
        <w:spacing w:after="120" w:before="240"/>
      </w:pPr>
      <w:r>
        <w:rPr>
          <w:b/>
          <w:bCs/>
          <w:color w:val="1F3864"/>
          <w:sz w:val="24"/>
          <w:szCs w:val="24"/>
        </w:rPr>
        <w:t xml:space="preserve">  6.  </w:t>
      </w:r>
      <w:r>
        <w:rPr>
          <w:b/>
          <w:bCs/>
          <w:color w:val="1F3864"/>
          <w:sz w:val="24"/>
          <w:szCs w:val="24"/>
        </w:rPr>
        <w:t xml:space="preserve">CLINICAL COMPLEXITY — MEDICAL CONDITIONS &amp; CARE NEEDS</w:t>
      </w:r>
    </w:p>
    <w:p>
      <w:pPr>
        <w:spacing w:after="120" w:before="40"/>
      </w:pPr>
      <w:r>
        <w:rPr>
          <w:i/>
          <w:iCs/>
          <w:color w:val="595959"/>
          <w:sz w:val="18"/>
          <w:szCs w:val="18"/>
        </w:rPr>
        <w:t xml:space="preserve">List active diagnoses and the care needs they generate. Under WAC 388-106-0095 a qualifying condition must be paired with a minimum ADL score; diagnoses here support — but do not by themselves establish — level of care.</w:t>
      </w:r>
    </w:p>
    <w:p>
      <w:pPr>
        <w:spacing w:after="60" w:before="140"/>
      </w:pPr>
      <w:r>
        <w:rPr>
          <w:b/>
          <w:bCs/>
          <w:color w:val="2E5496"/>
          <w:sz w:val="21"/>
          <w:szCs w:val="21"/>
        </w:rPr>
        <w:t xml:space="preserve">Active diagnoses &amp;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200"/>
        <w:gridCol w:w="3800"/>
      </w:tblGrid>
      <w:tr>
        <w:trPr>
          <w:tblHeader/>
        </w:trPr>
        <w:tc>
          <w:tcPr>
            <w:tcW w:type="dxa" w:w="336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Active diagnosis (ICD-10 if known)</w:t>
            </w:r>
          </w:p>
        </w:tc>
        <w:tc>
          <w:tcPr>
            <w:tcW w:type="dxa" w:w="22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Status / onset</w:t>
            </w:r>
          </w:p>
        </w:tc>
        <w:tc>
          <w:tcPr>
            <w:tcW w:type="dxa" w:w="38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Related functional or care impact</w:t>
            </w:r>
          </w:p>
        </w:tc>
      </w:tr>
      <w:tr>
        <w:tc>
          <w:tcPr>
            <w:tcW w:type="dxa" w:w="33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sz w:val="19"/>
                <w:szCs w:val="19"/>
              </w:rPr>
              <w:t xml:space="preserve"> </w:t>
            </w:r>
          </w:p>
        </w:tc>
        <w:tc>
          <w:tcPr>
            <w:tcW w:type="dxa" w:w="22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38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3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sz w:val="19"/>
                <w:szCs w:val="19"/>
              </w:rPr>
              <w:t xml:space="preserve"> </w:t>
            </w:r>
          </w:p>
        </w:tc>
        <w:tc>
          <w:tcPr>
            <w:tcW w:type="dxa" w:w="22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38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3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sz w:val="19"/>
                <w:szCs w:val="19"/>
              </w:rPr>
              <w:t xml:space="preserve"> </w:t>
            </w:r>
          </w:p>
        </w:tc>
        <w:tc>
          <w:tcPr>
            <w:tcW w:type="dxa" w:w="22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38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336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sz w:val="19"/>
                <w:szCs w:val="19"/>
              </w:rPr>
              <w:t xml:space="preserve"> </w:t>
            </w:r>
          </w:p>
        </w:tc>
        <w:tc>
          <w:tcPr>
            <w:tcW w:type="dxa" w:w="22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38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bl>
    <w:p>
      <w:pPr>
        <w:spacing w:after="60"/>
      </w:pPr>
      <w:r>
        <w:t xml:space="preserve"/>
      </w:r>
    </w:p>
    <w:p>
      <w:pPr>
        <w:spacing w:after="80"/>
      </w:pPr>
      <w:r>
        <w:rPr>
          <w:b w:val="false"/>
          <w:bCs w:val="false"/>
          <w:sz w:val="22"/>
          <w:szCs w:val="22"/>
        </w:rPr>
        <w:t xml:space="preserve">Medications / regimen complexity / who administers:  </w:t>
      </w:r>
      <w:r>
        <w:rPr>
          <w:color w:val="595959"/>
          <w:sz w:val="22"/>
          <w:szCs w:val="22"/>
        </w:rPr>
        <w:t xml:space="preserve">____________________________________________________________</w:t>
      </w:r>
    </w:p>
    <w:p>
      <w:pPr>
        <w:spacing w:after="80"/>
      </w:pPr>
      <w:r>
        <w:rPr>
          <w:b w:val="false"/>
          <w:bCs w:val="false"/>
          <w:sz w:val="22"/>
          <w:szCs w:val="22"/>
        </w:rPr>
        <w:t xml:space="preserve">Allergies:  </w:t>
      </w:r>
      <w:r>
        <w:rPr>
          <w:color w:val="595959"/>
          <w:sz w:val="22"/>
          <w:szCs w:val="22"/>
        </w:rPr>
        <w:t xml:space="preserve">________________________________________________________________________________</w:t>
      </w:r>
    </w:p>
    <w:p>
      <w:pPr>
        <w:spacing w:after="60"/>
      </w:pPr>
      <w:r>
        <w:t xml:space="preserve"/>
      </w:r>
    </w:p>
    <w:p>
      <w:pPr>
        <w:spacing w:after="60" w:before="140"/>
      </w:pPr>
      <w:r>
        <w:rPr>
          <w:b/>
          <w:bCs/>
          <w:color w:val="2E5496"/>
          <w:sz w:val="21"/>
          <w:szCs w:val="21"/>
        </w:rPr>
        <w:t xml:space="preserve">Clinical complexity &amp; nursing-relevant care needs (check all present)</w:t>
      </w:r>
    </w:p>
    <w:p>
      <w:pPr>
        <w:spacing w:after="60"/>
      </w:pPr>
      <w:r>
        <w:rPr>
          <w:sz w:val="22"/>
          <w:szCs w:val="22"/>
        </w:rPr>
        <w:t xml:space="preserve">☐ </w:t>
      </w:r>
      <w:r>
        <w:rPr>
          <w:sz w:val="22"/>
          <w:szCs w:val="22"/>
        </w:rPr>
        <w:t xml:space="preserve">Daily pain      </w:t>
      </w:r>
      <w:r>
        <w:rPr>
          <w:sz w:val="22"/>
          <w:szCs w:val="22"/>
        </w:rPr>
        <w:t xml:space="preserve">☐ </w:t>
      </w:r>
      <w:r>
        <w:rPr>
          <w:sz w:val="22"/>
          <w:szCs w:val="22"/>
        </w:rPr>
        <w:t xml:space="preserve">Swallowing problem / needs help eating      </w:t>
      </w:r>
      <w:r>
        <w:rPr>
          <w:sz w:val="22"/>
          <w:szCs w:val="22"/>
        </w:rPr>
        <w:t xml:space="preserve">☐ </w:t>
      </w:r>
      <w:r>
        <w:rPr>
          <w:sz w:val="22"/>
          <w:szCs w:val="22"/>
        </w:rPr>
        <w:t xml:space="preserve">Unplanned weight loss / nutrition risk      </w:t>
      </w:r>
      <w:r>
        <w:rPr>
          <w:sz w:val="22"/>
          <w:szCs w:val="22"/>
        </w:rPr>
        <w:t xml:space="preserve">☐ </w:t>
      </w:r>
      <w:r>
        <w:rPr>
          <w:sz w:val="22"/>
          <w:szCs w:val="22"/>
        </w:rPr>
        <w:t xml:space="preserve">Dehydration risk</w:t>
      </w:r>
    </w:p>
    <w:p>
      <w:pPr>
        <w:spacing w:after="60"/>
      </w:pPr>
      <w:r>
        <w:rPr>
          <w:sz w:val="22"/>
          <w:szCs w:val="22"/>
        </w:rPr>
        <w:t xml:space="preserve">☐ </w:t>
      </w:r>
      <w:r>
        <w:rPr>
          <w:sz w:val="22"/>
          <w:szCs w:val="22"/>
        </w:rPr>
        <w:t xml:space="preserve">Open lesion / wound / pressure injury      </w:t>
      </w:r>
      <w:r>
        <w:rPr>
          <w:sz w:val="22"/>
          <w:szCs w:val="22"/>
        </w:rPr>
        <w:t xml:space="preserve">☐ </w:t>
      </w:r>
      <w:r>
        <w:rPr>
          <w:sz w:val="22"/>
          <w:szCs w:val="22"/>
        </w:rPr>
        <w:t xml:space="preserve">Ostomy care      </w:t>
      </w:r>
      <w:r>
        <w:rPr>
          <w:sz w:val="22"/>
          <w:szCs w:val="22"/>
        </w:rPr>
        <w:t xml:space="preserve">☐ </w:t>
      </w:r>
      <w:r>
        <w:rPr>
          <w:sz w:val="22"/>
          <w:szCs w:val="22"/>
        </w:rPr>
        <w:t xml:space="preserve">Tube feeding (enteral)      </w:t>
      </w:r>
      <w:r>
        <w:rPr>
          <w:sz w:val="22"/>
          <w:szCs w:val="22"/>
        </w:rPr>
        <w:t xml:space="preserve">☐ </w:t>
      </w:r>
      <w:r>
        <w:rPr>
          <w:sz w:val="22"/>
          <w:szCs w:val="22"/>
        </w:rPr>
        <w:t xml:space="preserve">IV / parenteral fluids</w:t>
      </w:r>
    </w:p>
    <w:p>
      <w:pPr>
        <w:spacing w:after="60"/>
      </w:pPr>
      <w:r>
        <w:rPr>
          <w:sz w:val="22"/>
          <w:szCs w:val="22"/>
        </w:rPr>
        <w:t xml:space="preserve">☐ </w:t>
      </w:r>
      <w:r>
        <w:rPr>
          <w:sz w:val="22"/>
          <w:szCs w:val="22"/>
        </w:rPr>
        <w:t xml:space="preserve">Oxygen / respiratory treatment      </w:t>
      </w:r>
      <w:r>
        <w:rPr>
          <w:sz w:val="22"/>
          <w:szCs w:val="22"/>
        </w:rPr>
        <w:t xml:space="preserve">☐ </w:t>
      </w:r>
      <w:r>
        <w:rPr>
          <w:sz w:val="22"/>
          <w:szCs w:val="22"/>
        </w:rPr>
        <w:t xml:space="preserve">Ventilator      </w:t>
      </w:r>
      <w:r>
        <w:rPr>
          <w:sz w:val="22"/>
          <w:szCs w:val="22"/>
        </w:rPr>
        <w:t xml:space="preserve">☐ </w:t>
      </w:r>
      <w:r>
        <w:rPr>
          <w:sz w:val="22"/>
          <w:szCs w:val="22"/>
        </w:rPr>
        <w:t xml:space="preserve">Dialysis      </w:t>
      </w:r>
      <w:r>
        <w:rPr>
          <w:sz w:val="22"/>
          <w:szCs w:val="22"/>
        </w:rPr>
        <w:t xml:space="preserve">☐ </w:t>
      </w:r>
      <w:r>
        <w:rPr>
          <w:sz w:val="22"/>
          <w:szCs w:val="22"/>
        </w:rPr>
        <w:t xml:space="preserve">Diabetes – insulin / monitoring</w:t>
      </w:r>
    </w:p>
    <w:p>
      <w:pPr>
        <w:spacing w:after="60"/>
      </w:pPr>
      <w:r>
        <w:rPr>
          <w:sz w:val="22"/>
          <w:szCs w:val="22"/>
        </w:rPr>
        <w:t xml:space="preserve">☐ </w:t>
      </w:r>
      <w:r>
        <w:rPr>
          <w:sz w:val="22"/>
          <w:szCs w:val="22"/>
        </w:rPr>
        <w:t xml:space="preserve">Bowel / bladder incontinence      </w:t>
      </w:r>
      <w:r>
        <w:rPr>
          <w:sz w:val="22"/>
          <w:szCs w:val="22"/>
        </w:rPr>
        <w:t xml:space="preserve">☐ </w:t>
      </w:r>
      <w:r>
        <w:rPr>
          <w:sz w:val="22"/>
          <w:szCs w:val="22"/>
        </w:rPr>
        <w:t xml:space="preserve">Indwelling catheter      </w:t>
      </w:r>
      <w:r>
        <w:rPr>
          <w:sz w:val="22"/>
          <w:szCs w:val="22"/>
        </w:rPr>
        <w:t xml:space="preserve">☐ </w:t>
      </w:r>
      <w:r>
        <w:rPr>
          <w:sz w:val="22"/>
          <w:szCs w:val="22"/>
        </w:rPr>
        <w:t xml:space="preserve">Skin integrity / fragile skin      </w:t>
      </w:r>
      <w:r>
        <w:rPr>
          <w:sz w:val="22"/>
          <w:szCs w:val="22"/>
        </w:rPr>
        <w:t xml:space="preserve">☐ </w:t>
      </w:r>
      <w:r>
        <w:rPr>
          <w:sz w:val="22"/>
          <w:szCs w:val="22"/>
        </w:rPr>
        <w:t xml:space="preserve">Edema</w:t>
      </w:r>
    </w:p>
    <w:p>
      <w:pPr>
        <w:spacing w:after="60"/>
      </w:pPr>
      <w:r>
        <w:rPr>
          <w:sz w:val="22"/>
          <w:szCs w:val="22"/>
        </w:rPr>
        <w:t xml:space="preserve">☐ </w:t>
      </w:r>
      <w:r>
        <w:rPr>
          <w:sz w:val="22"/>
          <w:szCs w:val="22"/>
        </w:rPr>
        <w:t xml:space="preserve">Falls – history / high risk      </w:t>
      </w:r>
      <w:r>
        <w:rPr>
          <w:sz w:val="22"/>
          <w:szCs w:val="22"/>
        </w:rPr>
        <w:t xml:space="preserve">☐ </w:t>
      </w:r>
      <w:r>
        <w:rPr>
          <w:sz w:val="22"/>
          <w:szCs w:val="22"/>
        </w:rPr>
        <w:t xml:space="preserve">Impaired vision      </w:t>
      </w:r>
      <w:r>
        <w:rPr>
          <w:sz w:val="22"/>
          <w:szCs w:val="22"/>
        </w:rPr>
        <w:t xml:space="preserve">☐ </w:t>
      </w:r>
      <w:r>
        <w:rPr>
          <w:sz w:val="22"/>
          <w:szCs w:val="22"/>
        </w:rPr>
        <w:t xml:space="preserve">Impaired hearing      </w:t>
      </w:r>
      <w:r>
        <w:rPr>
          <w:sz w:val="22"/>
          <w:szCs w:val="22"/>
        </w:rPr>
        <w:t xml:space="preserve">☐ </w:t>
      </w:r>
      <w:r>
        <w:rPr>
          <w:sz w:val="22"/>
          <w:szCs w:val="22"/>
        </w:rPr>
        <w:t xml:space="preserve">Communication deficit</w:t>
      </w:r>
    </w:p>
    <w:p>
      <w:pPr>
        <w:spacing w:after="60"/>
      </w:pPr>
      <w:r>
        <w:rPr>
          <w:sz w:val="22"/>
          <w:szCs w:val="22"/>
        </w:rPr>
        <w:t xml:space="preserve">☐ </w:t>
      </w:r>
      <w:r>
        <w:rPr>
          <w:sz w:val="22"/>
          <w:szCs w:val="22"/>
        </w:rPr>
        <w:t xml:space="preserve">Seizure disorder      </w:t>
      </w:r>
      <w:r>
        <w:rPr>
          <w:sz w:val="22"/>
          <w:szCs w:val="22"/>
        </w:rPr>
        <w:t xml:space="preserve">☐ </w:t>
      </w:r>
      <w:r>
        <w:rPr>
          <w:sz w:val="22"/>
          <w:szCs w:val="22"/>
        </w:rPr>
        <w:t xml:space="preserve">Stroke / neuro deficit      </w:t>
      </w:r>
      <w:r>
        <w:rPr>
          <w:sz w:val="22"/>
          <w:szCs w:val="22"/>
        </w:rPr>
        <w:t xml:space="preserve">☐ </w:t>
      </w:r>
      <w:r>
        <w:rPr>
          <w:sz w:val="22"/>
          <w:szCs w:val="22"/>
        </w:rPr>
        <w:t xml:space="preserve">Cardiac / circulatory      </w:t>
      </w:r>
      <w:r>
        <w:rPr>
          <w:sz w:val="22"/>
          <w:szCs w:val="22"/>
        </w:rPr>
        <w:t xml:space="preserve">☐ </w:t>
      </w:r>
      <w:r>
        <w:rPr>
          <w:sz w:val="22"/>
          <w:szCs w:val="22"/>
        </w:rPr>
        <w:t xml:space="preserve">Other (specify below)</w:t>
      </w:r>
    </w:p>
    <w:p>
      <w:pPr>
        <w:spacing w:after="80"/>
      </w:pPr>
      <w:r>
        <w:rPr>
          <w:b w:val="false"/>
          <w:bCs w:val="false"/>
          <w:sz w:val="22"/>
          <w:szCs w:val="22"/>
        </w:rPr>
        <w:t xml:space="preserve">Detail / other clinical needs:  </w:t>
      </w:r>
      <w:r>
        <w:rPr>
          <w:color w:val="595959"/>
          <w:sz w:val="22"/>
          <w:szCs w:val="22"/>
        </w:rPr>
        <w:t xml:space="preserve">______________________________________________________________________</w:t>
      </w:r>
    </w:p>
    <w:p>
      <w:pPr>
        <w:spacing w:after="60" w:before="140"/>
      </w:pPr>
      <w:r>
        <w:rPr>
          <w:b/>
          <w:bCs/>
          <w:color w:val="2E5496"/>
          <w:sz w:val="21"/>
          <w:szCs w:val="21"/>
        </w:rPr>
        <w:t xml:space="preserve">Substance use</w:t>
      </w:r>
    </w:p>
    <w:p>
      <w:pPr>
        <w:spacing w:after="60"/>
      </w:pPr>
      <w:r>
        <w:rPr>
          <w:sz w:val="22"/>
          <w:szCs w:val="22"/>
        </w:rPr>
        <w:t xml:space="preserve">☐ </w:t>
      </w:r>
      <w:r>
        <w:rPr>
          <w:sz w:val="22"/>
          <w:szCs w:val="22"/>
        </w:rPr>
        <w:t xml:space="preserve">Alcohol use — assess      </w:t>
      </w:r>
      <w:r>
        <w:rPr>
          <w:sz w:val="22"/>
          <w:szCs w:val="22"/>
        </w:rPr>
        <w:t xml:space="preserve">☐ </w:t>
      </w:r>
      <w:r>
        <w:rPr>
          <w:sz w:val="22"/>
          <w:szCs w:val="22"/>
        </w:rPr>
        <w:t xml:space="preserve">Substance use — assess      </w:t>
      </w:r>
      <w:r>
        <w:rPr>
          <w:sz w:val="22"/>
          <w:szCs w:val="22"/>
        </w:rPr>
        <w:t xml:space="preserve">☐ </w:t>
      </w:r>
      <w:r>
        <w:rPr>
          <w:sz w:val="22"/>
          <w:szCs w:val="22"/>
        </w:rPr>
        <w:t xml:space="preserve">Tobacco use — assess</w:t>
      </w:r>
    </w:p>
    <w:p>
      <w:pPr>
        <w:pBdr>
          <w:bottom w:val="single" w:color="2E5496" w:sz="8" w:space="2"/>
        </w:pBdr>
        <w:shd w:fill="D9E2F3" w:val="clear"/>
        <w:spacing w:after="120" w:before="240"/>
      </w:pPr>
      <w:r>
        <w:rPr>
          <w:b/>
          <w:bCs/>
          <w:color w:val="1F3864"/>
          <w:sz w:val="24"/>
          <w:szCs w:val="24"/>
        </w:rPr>
        <w:t xml:space="preserve">  7.  </w:t>
      </w:r>
      <w:r>
        <w:rPr>
          <w:b/>
          <w:bCs/>
          <w:color w:val="1F3864"/>
          <w:sz w:val="24"/>
          <w:szCs w:val="24"/>
        </w:rPr>
        <w:t xml:space="preserve">PERSON-CENTERED GOALS &amp; PREFERENCES</w:t>
      </w:r>
    </w:p>
    <w:p>
      <w:pPr>
        <w:spacing w:after="120" w:before="40"/>
      </w:pPr>
      <w:r>
        <w:rPr>
          <w:i/>
          <w:iCs/>
          <w:color w:val="595959"/>
          <w:sz w:val="18"/>
          <w:szCs w:val="18"/>
        </w:rPr>
        <w:t xml:space="preserve">Required by 42 CFR §441.301(c): reflect the individual’s strengths and preferences, what is important TO and FOR the person, and individually identified goals and desired outcomes. The setting must be chosen by the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What matters most to the client</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In the client’s own words where possible</w:t>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Strengths</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Personal goals &amp; desired outcomes</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Setting chosen by individual</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Own home / family home / adult family home / assisted living — confirm choice</w:t>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Cultural / communication preferences</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Self-direction preference</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Does the client wish to direct services / select providers?</w:t>
            </w:r>
          </w:p>
        </w:tc>
      </w:tr>
    </w:tbl>
    <w:p>
      <w:pPr>
        <w:pageBreakBefore/>
        <w:spacing w:after="0"/>
      </w:pPr>
      <w:r>
        <w:t xml:space="preserve"/>
      </w:r>
    </w:p>
    <w:p>
      <w:pPr>
        <w:pBdr>
          <w:bottom w:val="single" w:color="2E5496" w:sz="8" w:space="2"/>
        </w:pBdr>
        <w:shd w:fill="D9E2F3" w:val="clear"/>
        <w:spacing w:after="120" w:before="240"/>
      </w:pPr>
      <w:r>
        <w:rPr>
          <w:b/>
          <w:bCs/>
          <w:color w:val="1F3864"/>
          <w:sz w:val="24"/>
          <w:szCs w:val="24"/>
        </w:rPr>
        <w:t xml:space="preserve">  8.  </w:t>
      </w:r>
      <w:r>
        <w:rPr>
          <w:b/>
          <w:bCs/>
          <w:color w:val="1F3864"/>
          <w:sz w:val="24"/>
          <w:szCs w:val="24"/>
        </w:rPr>
        <w:t xml:space="preserve">PLAN OF CARE — NEEDS, GOALS &amp; INTERVENTIONS</w:t>
      </w:r>
    </w:p>
    <w:p>
      <w:pPr>
        <w:spacing w:after="120" w:before="40"/>
      </w:pPr>
      <w:r>
        <w:rPr>
          <w:i/>
          <w:iCs/>
          <w:color w:val="595959"/>
          <w:sz w:val="18"/>
          <w:szCs w:val="18"/>
        </w:rPr>
        <w:t xml:space="preserve">One row per assessed/triggered need. Tie each need to a measurable goal, the intervention/task, the responsible provider (formal and/or informal), and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360"/>
        <w:gridCol w:w="1500"/>
        <w:gridCol w:w="1200"/>
      </w:tblGrid>
      <w:tr>
        <w:trPr>
          <w:tblHeader/>
        </w:trPr>
        <w:tc>
          <w:tcPr>
            <w:tcW w:type="dxa" w:w="22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Assessed need / problem</w:t>
            </w:r>
          </w:p>
        </w:tc>
        <w:tc>
          <w:tcPr>
            <w:tcW w:type="dxa" w:w="21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Goal / desired outcome</w:t>
            </w:r>
          </w:p>
        </w:tc>
        <w:tc>
          <w:tcPr>
            <w:tcW w:type="dxa" w:w="236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Intervention / task</w:t>
            </w:r>
          </w:p>
        </w:tc>
        <w:tc>
          <w:tcPr>
            <w:tcW w:type="dxa" w:w="15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Responsible provider</w:t>
            </w:r>
          </w:p>
        </w:tc>
        <w:tc>
          <w:tcPr>
            <w:tcW w:type="dxa" w:w="12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Frequency</w:t>
            </w:r>
          </w:p>
        </w:tc>
      </w:tr>
      <w:tr>
        <w:tc>
          <w:tcPr>
            <w:tcW w:type="dxa" w:w="22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1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3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5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2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22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1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3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5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2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22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1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3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5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2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22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1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3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5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2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22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1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3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5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2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22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1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3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5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2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bl>
    <w:p>
      <w:pPr>
        <w:pBdr>
          <w:bottom w:val="single" w:color="2E5496" w:sz="8" w:space="2"/>
        </w:pBdr>
        <w:shd w:fill="D9E2F3" w:val="clear"/>
        <w:spacing w:after="120" w:before="240"/>
      </w:pPr>
      <w:r>
        <w:rPr>
          <w:b/>
          <w:bCs/>
          <w:color w:val="1F3864"/>
          <w:sz w:val="24"/>
          <w:szCs w:val="24"/>
        </w:rPr>
        <w:t xml:space="preserve">  9.  </w:t>
      </w:r>
      <w:r>
        <w:rPr>
          <w:b/>
          <w:bCs/>
          <w:color w:val="1F3864"/>
          <w:sz w:val="24"/>
          <w:szCs w:val="24"/>
        </w:rPr>
        <w:t xml:space="preserve">AUTHORIZED SERVICES &amp; SERVICE SUMMARY</w:t>
      </w:r>
    </w:p>
    <w:p>
      <w:pPr>
        <w:spacing w:after="120" w:before="40"/>
      </w:pPr>
      <w:r>
        <w:rPr>
          <w:i/>
          <w:iCs/>
          <w:color w:val="595959"/>
          <w:sz w:val="18"/>
          <w:szCs w:val="18"/>
        </w:rPr>
        <w:t xml:space="preserve">Service summary per WAC 388-106-0010: services the client is eligible for, hours or residential rate, personal care tasks, the list of formal and informal providers and the tasks each provides, the client’s preferred schedule, and identified referrals.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60"/>
        <w:gridCol w:w="2100"/>
        <w:gridCol w:w="2000"/>
      </w:tblGrid>
      <w:tr>
        <w:trPr>
          <w:tblHeader/>
        </w:trPr>
        <w:tc>
          <w:tcPr>
            <w:tcW w:type="dxa" w:w="27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Authorized service</w:t>
            </w:r>
          </w:p>
        </w:tc>
        <w:tc>
          <w:tcPr>
            <w:tcW w:type="dxa" w:w="256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Provider (name / type)</w:t>
            </w:r>
          </w:p>
        </w:tc>
        <w:tc>
          <w:tcPr>
            <w:tcW w:type="dxa" w:w="21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Amount / hours / rate</w:t>
            </w:r>
          </w:p>
        </w:tc>
        <w:tc>
          <w:tcPr>
            <w:tcW w:type="dxa" w:w="20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Schedule</w:t>
            </w:r>
          </w:p>
        </w:tc>
      </w:tr>
      <w:tr>
        <w:tc>
          <w:tcPr>
            <w:tcW w:type="dxa" w:w="27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5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1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0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27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5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1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0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27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5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1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0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27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5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1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0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27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5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1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0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27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5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1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0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bl>
    <w:p>
      <w:pPr>
        <w:spacing w:after="60"/>
      </w:pPr>
      <w:r>
        <w:t xml:space="preserve"/>
      </w:r>
    </w:p>
    <w:p>
      <w:pPr>
        <w:spacing w:after="80"/>
      </w:pPr>
      <w:r>
        <w:rPr>
          <w:b w:val="false"/>
          <w:bCs w:val="false"/>
          <w:sz w:val="22"/>
          <w:szCs w:val="22"/>
        </w:rPr>
        <w:t xml:space="preserve">Informal (unpaid) supports &amp; tasks they provide:  </w:t>
      </w:r>
      <w:r>
        <w:rPr>
          <w:color w:val="595959"/>
          <w:sz w:val="22"/>
          <w:szCs w:val="22"/>
        </w:rPr>
        <w:t xml:space="preserve">__________________________________________________________</w:t>
      </w:r>
    </w:p>
    <w:p>
      <w:pPr>
        <w:spacing w:after="80"/>
      </w:pPr>
      <w:r>
        <w:rPr>
          <w:b w:val="false"/>
          <w:bCs w:val="false"/>
          <w:sz w:val="22"/>
          <w:szCs w:val="22"/>
        </w:rPr>
        <w:t xml:space="preserve">Goods/services, DME, home modifications, transportation:  </w:t>
      </w:r>
      <w:r>
        <w:rPr>
          <w:color w:val="595959"/>
          <w:sz w:val="22"/>
          <w:szCs w:val="22"/>
        </w:rPr>
        <w:t xml:space="preserve">__________________________________________________</w:t>
      </w:r>
    </w:p>
    <w:p>
      <w:pPr>
        <w:pBdr>
          <w:bottom w:val="single" w:color="2E5496" w:sz="8" w:space="2"/>
        </w:pBdr>
        <w:shd w:fill="D9E2F3" w:val="clear"/>
        <w:spacing w:after="120" w:before="240"/>
      </w:pPr>
      <w:r>
        <w:rPr>
          <w:b/>
          <w:bCs/>
          <w:color w:val="1F3864"/>
          <w:sz w:val="24"/>
          <w:szCs w:val="24"/>
        </w:rPr>
        <w:t xml:space="preserve">  10.  </w:t>
      </w:r>
      <w:r>
        <w:rPr>
          <w:b/>
          <w:bCs/>
          <w:color w:val="1F3864"/>
          <w:sz w:val="24"/>
          <w:szCs w:val="24"/>
        </w:rPr>
        <w:t xml:space="preserve">RISK FACTORS &amp; INDIVIDUALIZED BACKUP PLAN</w:t>
      </w:r>
    </w:p>
    <w:p>
      <w:pPr>
        <w:spacing w:after="120" w:before="40"/>
      </w:pPr>
      <w:r>
        <w:rPr>
          <w:i/>
          <w:iCs/>
          <w:color w:val="595959"/>
          <w:sz w:val="18"/>
          <w:szCs w:val="18"/>
        </w:rPr>
        <w:t xml:space="preserve">Required by 42 CFR §441.301(c): identify risk factors and the measures in place to minimize them, including an individualized backup plan for when a scheduled provider is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Identified risks</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Falls, wandering, medication, abuse/neglect/self-neglect, environment, etc.</w:t>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Measures to minimize risk</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Backup plan – caregiver unavailable</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Who/what fills the gap; client’s informed choice &amp; acceptance of risk if any</w:t>
            </w:r>
          </w:p>
        </w:tc>
      </w:tr>
      <w:tr>
        <w:tc>
          <w:tcPr>
            <w:tcW w:type="dxa" w:w="3000"/>
            <w:tcBorders>
              <w:top w:val="single" w:color="B7C3D9" w:sz="1"/>
              <w:left w:val="single" w:color="B7C3D9" w:sz="1"/>
              <w:bottom w:val="single" w:color="B7C3D9" w:sz="1"/>
              <w:right w:val="single" w:color="B7C3D9" w:sz="1"/>
            </w:tcBorders>
            <w:shd w:fill="EDF1F8" w:val="clear"/>
            <w:tcMar>
              <w:top w:type="dxa" w:w="60"/>
              <w:left w:type="dxa" w:w="120"/>
              <w:bottom w:type="dxa" w:w="60"/>
              <w:right w:type="dxa" w:w="120"/>
            </w:tcMar>
            <w:vAlign w:val="center"/>
          </w:tcPr>
          <w:p>
            <w:r>
              <w:rPr>
                <w:b/>
                <w:bCs/>
                <w:sz w:val="20"/>
                <w:szCs w:val="20"/>
              </w:rPr>
              <w:t xml:space="preserve">Emergency / disaster plan</w:t>
            </w:r>
          </w:p>
        </w:tc>
        <w:tc>
          <w:tcPr>
            <w:tcW w:type="dxa" w:w="6360"/>
            <w:tcBorders>
              <w:top w:val="single" w:color="B7C3D9" w:sz="1"/>
              <w:left w:val="single" w:color="B7C3D9" w:sz="1"/>
              <w:bottom w:val="single" w:color="B7C3D9" w:sz="1"/>
              <w:right w:val="single" w:color="B7C3D9" w:sz="1"/>
            </w:tcBorders>
            <w:tcMar>
              <w:top w:type="dxa" w:w="60"/>
              <w:left w:type="dxa" w:w="120"/>
              <w:bottom w:type="dxa" w:w="60"/>
              <w:right w:type="dxa" w:w="120"/>
            </w:tcMar>
            <w:vAlign w:val="center"/>
          </w:tcPr>
          <w:p>
            <w:r>
              <w:rPr>
                <w:i/>
                <w:iCs/>
                <w:color w:val="595959"/>
                <w:sz w:val="18"/>
                <w:szCs w:val="18"/>
              </w:rPr>
              <w:t xml:space="preserve">Contacts and steps if services are disrupted</w:t>
            </w:r>
          </w:p>
        </w:tc>
      </w:tr>
    </w:tbl>
    <w:p>
      <w:pPr>
        <w:pBdr>
          <w:bottom w:val="single" w:color="2E5496" w:sz="8" w:space="2"/>
        </w:pBdr>
        <w:shd w:fill="D9E2F3" w:val="clear"/>
        <w:spacing w:after="120" w:before="240"/>
      </w:pPr>
      <w:r>
        <w:rPr>
          <w:b/>
          <w:bCs/>
          <w:color w:val="1F3864"/>
          <w:sz w:val="24"/>
          <w:szCs w:val="24"/>
        </w:rPr>
        <w:t xml:space="preserve">  11.  </w:t>
      </w:r>
      <w:r>
        <w:rPr>
          <w:b/>
          <w:bCs/>
          <w:color w:val="1F3864"/>
          <w:sz w:val="24"/>
          <w:szCs w:val="24"/>
        </w:rPr>
        <w:t xml:space="preserve">COORDINATION, NURSING &amp; REFERRALS</w:t>
      </w:r>
    </w:p>
    <w:p>
      <w:pPr>
        <w:spacing w:after="60"/>
      </w:pPr>
      <w:r>
        <w:rPr>
          <w:sz w:val="22"/>
          <w:szCs w:val="22"/>
        </w:rPr>
        <w:t xml:space="preserve">☐ </w:t>
      </w:r>
      <w:r>
        <w:rPr>
          <w:sz w:val="22"/>
          <w:szCs w:val="22"/>
        </w:rPr>
        <w:t xml:space="preserve">Nursing services / triggered nursing referral      </w:t>
      </w:r>
      <w:r>
        <w:rPr>
          <w:sz w:val="22"/>
          <w:szCs w:val="22"/>
        </w:rPr>
        <w:t xml:space="preserve">☐ </w:t>
      </w:r>
      <w:r>
        <w:rPr>
          <w:sz w:val="22"/>
          <w:szCs w:val="22"/>
        </w:rPr>
        <w:t xml:space="preserve">PCP / ARNP coordination      </w:t>
      </w:r>
      <w:r>
        <w:rPr>
          <w:sz w:val="22"/>
          <w:szCs w:val="22"/>
        </w:rPr>
        <w:t xml:space="preserve">☐ </w:t>
      </w:r>
      <w:r>
        <w:rPr>
          <w:sz w:val="22"/>
          <w:szCs w:val="22"/>
        </w:rPr>
        <w:t xml:space="preserve">Behavioral health</w:t>
      </w:r>
    </w:p>
    <w:p>
      <w:pPr>
        <w:spacing w:after="60"/>
      </w:pPr>
      <w:r>
        <w:rPr>
          <w:sz w:val="22"/>
          <w:szCs w:val="22"/>
        </w:rPr>
        <w:t xml:space="preserve">☐ </w:t>
      </w:r>
      <w:r>
        <w:rPr>
          <w:sz w:val="22"/>
          <w:szCs w:val="22"/>
        </w:rPr>
        <w:t xml:space="preserve">PT / OT / SLP      </w:t>
      </w:r>
      <w:r>
        <w:rPr>
          <w:sz w:val="22"/>
          <w:szCs w:val="22"/>
        </w:rPr>
        <w:t xml:space="preserve">☐ </w:t>
      </w:r>
      <w:r>
        <w:rPr>
          <w:sz w:val="22"/>
          <w:szCs w:val="22"/>
        </w:rPr>
        <w:t xml:space="preserve">Adult day services      </w:t>
      </w:r>
      <w:r>
        <w:rPr>
          <w:sz w:val="22"/>
          <w:szCs w:val="22"/>
        </w:rPr>
        <w:t xml:space="preserve">☐ </w:t>
      </w:r>
      <w:r>
        <w:rPr>
          <w:sz w:val="22"/>
          <w:szCs w:val="22"/>
        </w:rPr>
        <w:t xml:space="preserve">APS / protective services      </w:t>
      </w:r>
      <w:r>
        <w:rPr>
          <w:sz w:val="22"/>
          <w:szCs w:val="22"/>
        </w:rPr>
        <w:t xml:space="preserve">☐ </w:t>
      </w:r>
      <w:r>
        <w:rPr>
          <w:sz w:val="22"/>
          <w:szCs w:val="22"/>
        </w:rPr>
        <w:t xml:space="preserve">Other</w:t>
      </w:r>
    </w:p>
    <w:p>
      <w:pPr>
        <w:spacing w:after="80"/>
      </w:pPr>
      <w:r>
        <w:rPr>
          <w:b w:val="false"/>
          <w:bCs w:val="false"/>
          <w:sz w:val="22"/>
          <w:szCs w:val="22"/>
        </w:rPr>
        <w:t xml:space="preserve">Referrals made / coordination notes:  </w:t>
      </w:r>
      <w:r>
        <w:rPr>
          <w:color w:val="595959"/>
          <w:sz w:val="22"/>
          <w:szCs w:val="22"/>
        </w:rPr>
        <w:t xml:space="preserve">________________________________________________________________</w:t>
      </w:r>
    </w:p>
    <w:p>
      <w:pPr>
        <w:pBdr>
          <w:bottom w:val="single" w:color="2E5496" w:sz="8" w:space="2"/>
        </w:pBdr>
        <w:shd w:fill="D9E2F3" w:val="clear"/>
        <w:spacing w:after="120" w:before="240"/>
      </w:pPr>
      <w:r>
        <w:rPr>
          <w:b/>
          <w:bCs/>
          <w:color w:val="1F3864"/>
          <w:sz w:val="24"/>
          <w:szCs w:val="24"/>
        </w:rPr>
        <w:t xml:space="preserve">  12.  </w:t>
      </w:r>
      <w:r>
        <w:rPr>
          <w:b/>
          <w:bCs/>
          <w:color w:val="1F3864"/>
          <w:sz w:val="24"/>
          <w:szCs w:val="24"/>
        </w:rPr>
        <w:t xml:space="preserve">REVIEW &amp; REASSESSMENT SCHEDULE</w:t>
      </w:r>
    </w:p>
    <w:p>
      <w:pPr>
        <w:spacing w:after="40"/>
      </w:pPr>
      <w:r>
        <w:rPr>
          <w:sz w:val="22"/>
          <w:szCs w:val="22"/>
        </w:rPr>
        <w:t xml:space="preserve">☐ </w:t>
      </w:r>
      <w:r>
        <w:rPr>
          <w:sz w:val="22"/>
          <w:szCs w:val="22"/>
        </w:rPr>
        <w:t xml:space="preserve">Annual reassessment due:      </w:t>
      </w:r>
      <w:r>
        <w:rPr>
          <w:sz w:val="22"/>
          <w:szCs w:val="22"/>
        </w:rPr>
        <w:t xml:space="preserve">☐ </w:t>
      </w:r>
      <w:r>
        <w:rPr>
          <w:sz w:val="22"/>
          <w:szCs w:val="22"/>
        </w:rPr>
        <w:t xml:space="preserve">____________</w:t>
      </w:r>
    </w:p>
    <w:p>
      <w:pPr>
        <w:spacing w:after="40"/>
      </w:pPr>
      <w:r>
        <w:rPr>
          <w:sz w:val="22"/>
          <w:szCs w:val="22"/>
        </w:rPr>
        <w:t xml:space="preserve">Reassess sooner upon: </w:t>
      </w:r>
      <w:r>
        <w:rPr>
          <w:sz w:val="22"/>
          <w:szCs w:val="22"/>
        </w:rPr>
        <w:t xml:space="preserve">significant change in cognition, mood/behavior, ADLs, or medical condition; at the client’s request; or return to the community after a nursing-facility stay of 30+ days (new DSHS 14-225 required).</w:t>
      </w:r>
    </w:p>
    <w:p>
      <w:pPr>
        <w:pageBreakBefore/>
        <w:spacing w:after="0"/>
      </w:pPr>
      <w:r>
        <w:t xml:space="preserve"/>
      </w:r>
    </w:p>
    <w:p>
      <w:pPr>
        <w:pBdr>
          <w:bottom w:val="single" w:color="2E5496" w:sz="8" w:space="2"/>
        </w:pBdr>
        <w:shd w:fill="D9E2F3" w:val="clear"/>
        <w:spacing w:after="120" w:before="240"/>
      </w:pPr>
      <w:r>
        <w:rPr>
          <w:b/>
          <w:bCs/>
          <w:color w:val="1F3864"/>
          <w:sz w:val="24"/>
          <w:szCs w:val="24"/>
        </w:rPr>
        <w:t xml:space="preserve">  13.  </w:t>
      </w:r>
      <w:r>
        <w:rPr>
          <w:b/>
          <w:bCs/>
          <w:color w:val="1F3864"/>
          <w:sz w:val="24"/>
          <w:szCs w:val="24"/>
        </w:rPr>
        <w:t xml:space="preserve">PARTICIPANT RIGHTS, CONSENT &amp; SIGNATURES</w:t>
      </w:r>
    </w:p>
    <w:p>
      <w:pPr>
        <w:spacing w:after="120" w:before="40"/>
      </w:pPr>
      <w:r>
        <w:rPr>
          <w:i/>
          <w:iCs/>
          <w:color w:val="595959"/>
          <w:sz w:val="18"/>
          <w:szCs w:val="18"/>
        </w:rPr>
        <w:t xml:space="preserve">The plan must be understandable to the client, identify who is responsible for monitoring it, and be finalized with the client’s informed written consent and then distributed to the client and others involved.</w:t>
      </w:r>
    </w:p>
    <w:p>
      <w:pPr>
        <w:spacing w:after="40"/>
      </w:pPr>
      <w:r>
        <w:rPr>
          <w:sz w:val="22"/>
          <w:szCs w:val="22"/>
        </w:rPr>
        <w:t xml:space="preserve">☐ </w:t>
      </w:r>
      <w:r>
        <w:rPr>
          <w:sz w:val="22"/>
          <w:szCs w:val="22"/>
        </w:rPr>
        <w:t xml:space="preserve">Client received written notice of rights and responsibilities</w:t>
      </w:r>
    </w:p>
    <w:p>
      <w:pPr>
        <w:spacing w:after="40"/>
      </w:pPr>
      <w:r>
        <w:rPr>
          <w:sz w:val="22"/>
          <w:szCs w:val="22"/>
        </w:rPr>
        <w:t xml:space="preserve">☐ </w:t>
      </w:r>
      <w:r>
        <w:rPr>
          <w:sz w:val="22"/>
          <w:szCs w:val="22"/>
        </w:rPr>
        <w:t xml:space="preserve">DSHS 14-225 Acknowledgment of Services completed (waiver vs. nursing facility choice)</w:t>
      </w:r>
    </w:p>
    <w:p>
      <w:pPr>
        <w:spacing w:after="40"/>
      </w:pPr>
      <w:r>
        <w:rPr>
          <w:sz w:val="22"/>
          <w:szCs w:val="22"/>
        </w:rPr>
        <w:t xml:space="preserve">☐ </w:t>
      </w:r>
      <w:r>
        <w:rPr>
          <w:sz w:val="22"/>
          <w:szCs w:val="22"/>
        </w:rPr>
        <w:t xml:space="preserve">Client approves the plan of care (Plan Approval)</w:t>
      </w:r>
    </w:p>
    <w:p>
      <w:pPr>
        <w:spacing w:after="120"/>
      </w:pPr>
      <w:r>
        <w:rPr>
          <w:sz w:val="22"/>
          <w:szCs w:val="22"/>
        </w:rPr>
        <w:t xml:space="preserve">☐ </w:t>
      </w:r>
      <w:r>
        <w:rPr>
          <w:sz w:val="22"/>
          <w:szCs w:val="22"/>
        </w:rPr>
        <w:t xml:space="preserve">Copy of plan provided to client / representative</w:t>
      </w:r>
    </w:p>
    <w:p>
      <w:pPr>
        <w:spacing w:after="60" w:before="140"/>
      </w:pPr>
      <w:r>
        <w:rPr>
          <w:b/>
          <w:bCs/>
          <w:color w:val="2E5496"/>
          <w:sz w:val="21"/>
          <w:szCs w:val="21"/>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660"/>
        <w:gridCol w:w="1700"/>
      </w:tblGrid>
      <w:tr>
        <w:trPr>
          <w:tblHeader/>
        </w:trPr>
        <w:tc>
          <w:tcPr>
            <w:tcW w:type="dxa" w:w="23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Role</w:t>
            </w:r>
          </w:p>
        </w:tc>
        <w:tc>
          <w:tcPr>
            <w:tcW w:type="dxa" w:w="27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Printed name</w:t>
            </w:r>
          </w:p>
        </w:tc>
        <w:tc>
          <w:tcPr>
            <w:tcW w:type="dxa" w:w="266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Signature</w:t>
            </w:r>
          </w:p>
        </w:tc>
        <w:tc>
          <w:tcPr>
            <w:tcW w:type="dxa" w:w="1700"/>
            <w:tcBorders>
              <w:top w:val="single" w:color="B7C3D9" w:sz="1"/>
              <w:left w:val="single" w:color="B7C3D9" w:sz="1"/>
              <w:bottom w:val="single" w:color="B7C3D9" w:sz="1"/>
              <w:right w:val="single" w:color="B7C3D9" w:sz="1"/>
            </w:tcBorders>
            <w:shd w:fill="1F3864" w:val="clear"/>
            <w:tcMar>
              <w:top w:type="dxa" w:w="70"/>
              <w:left w:type="dxa" w:w="110"/>
              <w:bottom w:type="dxa" w:w="70"/>
              <w:right w:type="dxa" w:w="110"/>
            </w:tcMar>
            <w:vAlign w:val="center"/>
          </w:tcPr>
          <w:p>
            <w:r>
              <w:rPr>
                <w:b/>
                <w:bCs/>
                <w:color w:val="FFFFFF"/>
                <w:sz w:val="19"/>
                <w:szCs w:val="19"/>
              </w:rPr>
              <w:t xml:space="preserve">Date</w:t>
            </w:r>
          </w:p>
        </w:tc>
      </w:tr>
      <w:tr>
        <w:tc>
          <w:tcPr>
            <w:tcW w:type="dxa" w:w="230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Client</w:t>
            </w:r>
          </w:p>
        </w:tc>
        <w:tc>
          <w:tcPr>
            <w:tcW w:type="dxa" w:w="27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6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7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230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Authorized representative</w:t>
            </w:r>
          </w:p>
        </w:tc>
        <w:tc>
          <w:tcPr>
            <w:tcW w:type="dxa" w:w="27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6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7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230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Case manager / assessor</w:t>
            </w:r>
          </w:p>
        </w:tc>
        <w:tc>
          <w:tcPr>
            <w:tcW w:type="dxa" w:w="27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6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7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r>
        <w:tc>
          <w:tcPr>
            <w:tcW w:type="dxa" w:w="2300"/>
            <w:tcBorders>
              <w:top w:val="single" w:color="B7C3D9" w:sz="1"/>
              <w:left w:val="single" w:color="B7C3D9" w:sz="1"/>
              <w:bottom w:val="single" w:color="B7C3D9" w:sz="1"/>
              <w:right w:val="single" w:color="B7C3D9" w:sz="1"/>
            </w:tcBorders>
            <w:shd w:fill="EDF1F8" w:val="clear"/>
            <w:tcMar>
              <w:top w:type="dxa" w:w="70"/>
              <w:left w:type="dxa" w:w="110"/>
              <w:bottom w:type="dxa" w:w="70"/>
              <w:right w:type="dxa" w:w="110"/>
            </w:tcMar>
            <w:vAlign w:val="top"/>
          </w:tcPr>
          <w:p>
            <w:r>
              <w:rPr>
                <w:b/>
                <w:bCs/>
                <w:sz w:val="19"/>
                <w:szCs w:val="19"/>
              </w:rPr>
              <w:t xml:space="preserve">Supervisor (if required)</w:t>
            </w:r>
          </w:p>
        </w:tc>
        <w:tc>
          <w:tcPr>
            <w:tcW w:type="dxa" w:w="27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266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c>
          <w:tcPr>
            <w:tcW w:type="dxa" w:w="1700"/>
            <w:tcBorders>
              <w:top w:val="single" w:color="B7C3D9" w:sz="1"/>
              <w:left w:val="single" w:color="B7C3D9" w:sz="1"/>
              <w:bottom w:val="single" w:color="B7C3D9" w:sz="1"/>
              <w:right w:val="single" w:color="B7C3D9" w:sz="1"/>
            </w:tcBorders>
            <w:tcMar>
              <w:top w:type="dxa" w:w="70"/>
              <w:left w:type="dxa" w:w="110"/>
              <w:bottom w:type="dxa" w:w="70"/>
              <w:right w:type="dxa" w:w="110"/>
            </w:tcMar>
            <w:vAlign w:val="top"/>
          </w:tcPr>
          <w:p>
            <w:r>
              <w:rPr>
                <w:sz w:val="19"/>
                <w:szCs w:val="19"/>
              </w:rPr>
              <w:t xml:space="preserve"> </w:t>
            </w:r>
          </w:p>
        </w:tc>
      </w:tr>
    </w:tbl>
    <w:p>
      <w:pPr>
        <w:spacing w:after="160"/>
      </w:pPr>
      <w:r>
        <w:t xml:space="preserve"/>
      </w:r>
    </w:p>
    <w:p>
      <w:pPr>
        <w:pBdr>
          <w:top w:val="single" w:color="B7C3D9" w:sz="6" w:space="4"/>
        </w:pBdr>
        <w:spacing w:before="120"/>
      </w:pPr>
      <w:r>
        <w:rPr>
          <w:i/>
          <w:iCs/>
          <w:color w:val="595959"/>
          <w:sz w:val="16"/>
          <w:szCs w:val="16"/>
        </w:rPr>
        <w:t xml:space="preserve">Confidential — contains protected health information. Template only; complete per client and verify against the current ALTSA/HCS Long-Term Care Manual and Chapter 388-106 WAC, which govern. Not legal advice.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Confidential — PHI</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9" w:sz="4" w:space="2"/>
      </w:pBdr>
      <w:tabs>
        <w:tab w:val="right" w:pos="10080"/>
      </w:tabs>
    </w:pPr>
    <w:r>
      <w:rPr>
        <w:b/>
        <w:bCs/>
        <w:color w:val="595959"/>
        <w:sz w:val="16"/>
        <w:szCs w:val="16"/>
      </w:rPr>
      <w:t xml:space="preserve">Person-Centered Plan of Care</w:t>
    </w:r>
    <w:r>
      <w:rPr>
        <w:color w:val="595959"/>
        <w:sz w:val="16"/>
        <w:szCs w:val="16"/>
      </w:rPr>
      <w:t xml:space="preserve">	WA HCBS — Older Adult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40"/>
      <w:outlineLvl w:val="1"/>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2026-06-29T19:37:55.292Z</dcterms:created>
  <dcterms:modified xsi:type="dcterms:W3CDTF">2026-06-29T19:37:55.293Z</dcterms:modified>
</cp:coreProperties>
</file>

<file path=docProps/custom.xml><?xml version="1.0" encoding="utf-8"?>
<Properties xmlns="http://schemas.openxmlformats.org/officeDocument/2006/custom-properties" xmlns:vt="http://schemas.openxmlformats.org/officeDocument/2006/docPropsVTypes"/>
</file>