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b/>
          <w:sz w:val="44"/>
          <w:rtl w:val="1"/>
        </w:rPr>
        <w:t>MIHWAR — Master Product Blueprint</w:t>
        <w:br/>
        <w:t>الخريطة الأم لمنصة «محور»</w:t>
      </w:r>
    </w:p>
    <w:p>
      <w:pPr>
        <w:jc w:val="right"/>
        <w:bidi w:val="1"/>
      </w:pPr>
      <w:r>
        <w:rPr>
          <w:i/>
          <w:rtl w:val="1"/>
        </w:rPr>
        <w:t>Marketplace لتأجير المعدات الثقيلة — مرجع المنتج والمعمارية وترتيب البناء</w:t>
      </w:r>
    </w:p>
    <w:p>
      <w:pPr>
        <w:jc w:val="right"/>
        <w:bidi w:val="1"/>
      </w:pPr>
      <w:r>
        <w:rPr>
          <w:b/>
          <w:rtl w:val="1"/>
        </w:rPr>
        <w:t>حالة الوثيقة: مرجع تأسيسي للمنتج — تُحدّث عند كل Milestone رئيسية.</w:t>
      </w:r>
    </w:p>
    <w:p>
      <w:pPr>
        <w:pStyle w:val="Heading1"/>
        <w:jc w:val="right"/>
        <w:bidi w:val="1"/>
      </w:pPr>
      <w:r>
        <w:rPr>
          <w:rtl w:val="1"/>
        </w:rPr>
        <w:t>1. تعريف المنتج</w:t>
      </w:r>
    </w:p>
    <w:p>
      <w:pPr>
        <w:jc w:val="right"/>
        <w:bidi w:val="1"/>
      </w:pPr>
      <w:r>
        <w:rPr>
          <w:b w:val="0"/>
          <w:rtl w:val="1"/>
        </w:rPr>
        <w:t>«محور» سوق رقمي لتأجير المعدات الثقيلة يربط المستأجر بمالك/مؤجر المعدة. يتيح مسارين للحصول على المعدة: التصفح والاستئجار المباشر، أو نشر طلب احتياج واستقبال عروض من ملاك المعدات. يتوحد المساران لاحقًا في الحجز والدفع والتنفيذ والإكمال والتقييم. الدفع داخل المنصة، وتأخذ «محور» عمولة من المعاملة.</w:t>
      </w:r>
    </w:p>
    <w:p>
      <w:pPr>
        <w:pStyle w:val="Heading1"/>
        <w:jc w:val="right"/>
        <w:bidi w:val="1"/>
      </w:pPr>
      <w:r>
        <w:rPr>
          <w:rtl w:val="1"/>
        </w:rPr>
        <w:t>2. الأطراف الرئيسية</w:t>
      </w:r>
    </w:p>
    <w:p>
      <w:pPr>
        <w:jc w:val="right"/>
        <w:bidi w:val="1"/>
      </w:pPr>
      <w:r>
        <w:rPr>
          <w:b w:val="0"/>
          <w:rtl w:val="1"/>
        </w:rPr>
        <w:t>• المستأجر: يتصفح المعدات أو ينشر طلبًا، يستقبل العروض، يختار، يدفع ويتابع عملية التأجير.</w:t>
      </w:r>
    </w:p>
    <w:p>
      <w:pPr>
        <w:jc w:val="right"/>
        <w:bidi w:val="1"/>
      </w:pPr>
      <w:r>
        <w:rPr>
          <w:b w:val="0"/>
          <w:rtl w:val="1"/>
        </w:rPr>
        <w:t>• المؤجر / مالك المعدات: يُعتمد، يسجل معداته، يحدد السعر النهائي بالساعة و/أو اليوم، الموقع والتوفر وخيار المشغل، ويقدم معداته للطلبات المناسبة.</w:t>
      </w:r>
    </w:p>
    <w:p>
      <w:pPr>
        <w:jc w:val="right"/>
        <w:bidi w:val="1"/>
      </w:pPr>
      <w:r>
        <w:rPr>
          <w:b w:val="0"/>
          <w:rtl w:val="1"/>
        </w:rPr>
        <w:t>• الإدارة: تعتمد المؤجرين وتدير لاحقًا المعدات والمعاملات والمدفوعات والنزاعات والتشغيل.</w:t>
      </w:r>
    </w:p>
    <w:p>
      <w:pPr>
        <w:jc w:val="right"/>
        <w:bidi w:val="1"/>
      </w:pPr>
      <w:r>
        <w:rPr>
          <w:b w:val="0"/>
          <w:rtl w:val="1"/>
        </w:rPr>
        <w:t>• الحساب: المستخدم نفسه يمكن أن يكون مستأجرًا ومؤجرًا؛ لا يلزم حسابان منفصلان.</w:t>
      </w:r>
    </w:p>
    <w:p>
      <w:pPr>
        <w:pStyle w:val="Heading1"/>
        <w:jc w:val="right"/>
        <w:bidi w:val="1"/>
      </w:pPr>
      <w:r>
        <w:rPr>
          <w:rtl w:val="1"/>
        </w:rPr>
        <w:t>3. المساران الرئيسيان</w:t>
      </w:r>
    </w:p>
    <w:p>
      <w:pPr>
        <w:jc w:val="right"/>
        <w:bidi w:val="1"/>
      </w:pPr>
      <w:r>
        <w:rPr>
          <w:b/>
          <w:rtl w:val="1"/>
        </w:rPr>
        <w:t>A — الاستئجار المباشر</w:t>
      </w:r>
    </w:p>
    <w:p>
      <w:pPr>
        <w:jc w:val="right"/>
        <w:bidi w:val="1"/>
      </w:pPr>
      <w:r>
        <w:rPr>
          <w:b w:val="0"/>
          <w:rtl w:val="1"/>
        </w:rPr>
        <w:t>تصفح المعدات → بحث/تصفية → تفاصيل المعدة → اختيار المدة وخيار المشغل → طلب مباشر → Booking</w:t>
      </w:r>
    </w:p>
    <w:p>
      <w:pPr>
        <w:jc w:val="right"/>
        <w:bidi w:val="1"/>
      </w:pPr>
      <w:r>
        <w:rPr>
          <w:b/>
          <w:rtl w:val="1"/>
        </w:rPr>
        <w:t>B — نشر طلب واستقبال عروض</w:t>
      </w:r>
    </w:p>
    <w:p>
      <w:pPr>
        <w:jc w:val="right"/>
        <w:bidi w:val="1"/>
      </w:pPr>
      <w:r>
        <w:rPr>
          <w:b w:val="0"/>
          <w:rtl w:val="1"/>
        </w:rPr>
        <w:t>إنشاء Request → نشره → يظهر للمؤجرين المناسبين → المؤجر يختار معدة من معداته → Offer → مقارنة العروض → اختيار عرض → Booking</w:t>
      </w:r>
    </w:p>
    <w:p>
      <w:pPr>
        <w:jc w:val="right"/>
        <w:bidi w:val="1"/>
      </w:pPr>
      <w:r>
        <w:rPr>
          <w:b/>
          <w:rtl w:val="1"/>
        </w:rPr>
        <w:t>بعد Booking يتوحد المساران:</w:t>
      </w:r>
    </w:p>
    <w:p>
      <w:pPr>
        <w:jc w:val="right"/>
        <w:bidi w:val="1"/>
      </w:pPr>
      <w:r>
        <w:rPr>
          <w:b w:val="0"/>
          <w:rtl w:val="1"/>
        </w:rPr>
        <w:t>Booking → Payment → Commission / Lessor Payout → Execution → Completion → Review</w:t>
      </w:r>
    </w:p>
    <w:p>
      <w:pPr>
        <w:pStyle w:val="Heading1"/>
        <w:jc w:val="right"/>
        <w:bidi w:val="1"/>
      </w:pPr>
      <w:r>
        <w:rPr>
          <w:rtl w:val="1"/>
        </w:rPr>
        <w:t>4. شجرة المنتج</w:t>
      </w:r>
    </w:p>
    <w:p>
      <w:pPr>
        <w:jc w:val="right"/>
        <w:bidi w:val="1"/>
      </w:pPr>
      <w:r>
        <w:rPr>
          <w:rFonts w:ascii="Consolas" w:hAnsi="Consolas"/>
          <w:sz w:val="18"/>
          <w:rtl w:val="1"/>
        </w:rPr>
        <w:t>محور</w:t>
        <w:br/>
        <w:t>├── سوق المعدات</w:t>
        <w:br/>
        <w:t>│   ├── تصفح / بحث / تصفية</w:t>
        <w:br/>
        <w:t>│   ├── تفاصيل المعدة</w:t>
        <w:br/>
        <w:t>│   └── طلب استئجار مباشر</w:t>
        <w:br/>
        <w:t>├── طلباتي</w:t>
        <w:br/>
        <w:t>│   ├── إنشاء طلب</w:t>
        <w:br/>
        <w:t>│   ├── الطلبات المفتوحة</w:t>
        <w:br/>
        <w:t>│   ├── العروض المستلمة</w:t>
        <w:br/>
        <w:t>│   ├── مقارنة العروض</w:t>
        <w:br/>
        <w:t>│   └── اختيار عرض</w:t>
        <w:br/>
        <w:t>├── تأجير معداتي</w:t>
        <w:br/>
        <w:t>│   ├── التسجيل والاعتماد</w:t>
        <w:br/>
        <w:t>│   ├── معداتي / إضافة معدة</w:t>
        <w:br/>
        <w:t>│   ├── الفرص</w:t>
        <w:br/>
        <w:t>│   ├── عروضي</w:t>
        <w:br/>
        <w:t>│   ├── الحجوزات والعمليات</w:t>
        <w:br/>
        <w:t>│   ├── الأرباح والتقارير</w:t>
        <w:br/>
        <w:t>│   └── الإعدادات</w:t>
        <w:br/>
        <w:t>├── حجوزاتي</w:t>
        <w:br/>
        <w:t>├── المدفوعات والمستحقات</w:t>
        <w:br/>
        <w:t>├── الحساب</w:t>
        <w:br/>
        <w:t>└── الإدارة والتشغيل</w:t>
      </w:r>
    </w:p>
    <w:p>
      <w:pPr>
        <w:pStyle w:val="Heading1"/>
        <w:jc w:val="right"/>
        <w:bidi w:val="1"/>
      </w:pPr>
      <w:r>
        <w:rPr>
          <w:rtl w:val="1"/>
        </w:rPr>
        <w:t>5. نموذج المجال والبيانات المستهدف</w:t>
      </w:r>
    </w:p>
    <w:p>
      <w:pPr>
        <w:jc w:val="right"/>
        <w:bidi w:val="1"/>
      </w:pPr>
      <w:r>
        <w:rPr>
          <w:rFonts w:ascii="Consolas" w:hAnsi="Consolas"/>
          <w:sz w:val="18"/>
          <w:rtl w:val="1"/>
        </w:rPr>
        <w:t>User</w:t>
        <w:br/>
        <w:t>├── Lessor Profile</w:t>
        <w:br/>
        <w:t>│   └── Equipment</w:t>
        <w:br/>
        <w:t>├── Request</w:t>
        <w:br/>
        <w:t>│   └── Offers</w:t>
        <w:br/>
        <w:t>│       └── Equipment</w:t>
        <w:br/>
        <w:t>└── Bookings</w:t>
        <w:br/>
        <w:t xml:space="preserve">    ├── Equipment</w:t>
        <w:br/>
        <w:t xml:space="preserve">    ├── Request / Direct Rental</w:t>
        <w:br/>
        <w:t xml:space="preserve">    ├── Accepted Offer</w:t>
        <w:br/>
        <w:t xml:space="preserve">    ├── Payment</w:t>
        <w:br/>
        <w:t xml:space="preserve">    ├── Commission</w:t>
        <w:br/>
        <w:t xml:space="preserve">    ├── Execution</w:t>
        <w:br/>
        <w:t xml:space="preserve">    └── Review</w:t>
      </w:r>
    </w:p>
    <w:p>
      <w:pPr>
        <w:pStyle w:val="Heading1"/>
        <w:jc w:val="right"/>
        <w:bidi w:val="1"/>
      </w:pPr>
      <w:r>
        <w:rPr>
          <w:rtl w:val="1"/>
        </w:rPr>
        <w:t>6. الكيانات وقواعد العمل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الكيان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الدور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Equipment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كيان مستقل مملوك لمؤجر معتمد. يتضمن النوع/التصنيف، المواصفات، الموقع، الصور، سعر الساعة واليوم، مع/بدون مشغل، التوفر والحالة.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Request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احتياج ينشره المستأجر. يجب أن يتطور ليرتبط بتصنيف المعدة والموقع والتاريخ والمدة والكمية ومتطلب المشغل.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Offer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يربط Request + Lessor + Equipment. السعر الأساسي ليس تفاوضيًا عشوائيًا؛ يبنى على تسعير المعدة المسجل.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Booking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نقطة توحيد الاستئجار المباشر والعرض المقبول، وهو المرجع للدفع والتنفيذ.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Payment / Commission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تحصيل داخل محور، فصل عمولة المنصة عن مستحق المؤجر، مع قابلية الاسترداد والتسوية والضرائب لاحقًا.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Execution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>
              <w:rPr>
                <w:rtl w:val="1"/>
              </w:rPr>
              <w:t>دورة التشغيل بعد الحجز: تأكيد → بدء → متابعة → إتمام → إغلاق.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7. حالة المشروع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الحالة</w:t>
            </w:r>
          </w:p>
        </w:tc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المحتوى</w:t>
            </w:r>
          </w:p>
        </w:tc>
      </w:tr>
      <w:tr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DONE</w:t>
            </w:r>
          </w:p>
        </w:tc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الحسابات والجلسات، دورة Request الأساسية End-to-End، تسجيل ومراجعة واعتماد «الوسيط» الحالية، الصفحات والمسارات الأساسية.</w:t>
            </w:r>
          </w:p>
        </w:tc>
      </w:tr>
      <w:tr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ADAPT</w:t>
            </w:r>
          </w:p>
        </w:tc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مفهوم broker/الوسيط → المؤجر، Request الحالي ليتوافق لاحقًا مع Domain المعدات، Information Architecture الحالية.</w:t>
            </w:r>
          </w:p>
        </w:tc>
      </w:tr>
      <w:tr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NEXT</w:t>
            </w:r>
          </w:p>
        </w:tc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Lessor Foundation + Equipment Core.</w:t>
            </w:r>
          </w:p>
        </w:tc>
      </w:tr>
      <w:tr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LATER</w:t>
            </w:r>
          </w:p>
        </w:tc>
        <w:tc>
          <w:tcPr>
            <w:tcW w:type="dxa" w:w="5184"/>
          </w:tcPr>
          <w:p>
            <w:pPr>
              <w:jc w:val="right"/>
              <w:bidi w:val="1"/>
            </w:pPr>
            <w:r>
              <w:rPr>
                <w:rtl w:val="1"/>
              </w:rPr>
              <w:t>سوق المعدات، Matching، Offers، Booking، Payment/Commission، Execution، Documents، Notifications، Reviews، Operations، Production.</w:t>
            </w:r>
          </w:p>
        </w:tc>
      </w:tr>
    </w:tbl>
    <w:p>
      <w:pPr>
        <w:pStyle w:val="Heading1"/>
        <w:jc w:val="right"/>
        <w:bidi w:val="1"/>
      </w:pPr>
      <w:r>
        <w:rPr>
          <w:rtl w:val="1"/>
        </w:rPr>
        <w:t>8. المرحلة التالية الرسمية — NEXT</w:t>
      </w:r>
    </w:p>
    <w:p>
      <w:pPr>
        <w:jc w:val="right"/>
        <w:bidi w:val="1"/>
      </w:pPr>
      <w:r>
        <w:rPr>
          <w:b/>
          <w:sz w:val="26"/>
          <w:rtl w:val="1"/>
        </w:rPr>
        <w:t>Lessor Foundation + Equipment Core</w:t>
      </w:r>
    </w:p>
    <w:p>
      <w:pPr>
        <w:jc w:val="right"/>
        <w:bidi w:val="1"/>
      </w:pPr>
      <w:r>
        <w:rPr>
          <w:b w:val="0"/>
          <w:rtl w:val="1"/>
        </w:rPr>
        <w:t>الهدف: تثبيت مفهوم «المؤجر» وربطه بالمستخدم المعتمد، ثم إنشاء Equipment ككيان حقيقي قابل للإدارة والتسعير والتوفر. لا تُبنى العروض قبل وجود Equipment.</w:t>
      </w:r>
    </w:p>
    <w:p>
      <w:pPr>
        <w:jc w:val="right"/>
        <w:bidi w:val="1"/>
      </w:pPr>
      <w:r>
        <w:rPr>
          <w:b w:val="0"/>
          <w:rtl w:val="1"/>
        </w:rPr>
        <w:t>معيار النجاح: User → Lessor Profile → Equipment يعمل End-to-End مع ملكية وصلاحيات صحيحة وحفظ واسترجاع حقيقيين، دون الحاجة إلى بناء Offers أو Payment في هذه المرحلة.</w:t>
      </w:r>
    </w:p>
    <w:p>
      <w:pPr>
        <w:pStyle w:val="Heading1"/>
        <w:jc w:val="right"/>
        <w:bidi w:val="1"/>
      </w:pPr>
      <w:r>
        <w:rPr>
          <w:rtl w:val="1"/>
        </w:rPr>
        <w:t>9. ترتيب البناء المعتمد</w:t>
      </w:r>
    </w:p>
    <w:p>
      <w:pPr>
        <w:jc w:val="right"/>
        <w:bidi w:val="1"/>
      </w:pPr>
      <w:r>
        <w:rPr>
          <w:b w:val="0"/>
          <w:rtl w:val="1"/>
        </w:rPr>
        <w:t>1. تثبيت Lessor Foundation وتكييف مفهوم «الوسيط» تدريجيًا دون إعادة تسمية شاملة غير ضرورية.</w:t>
      </w:r>
    </w:p>
    <w:p>
      <w:pPr>
        <w:jc w:val="right"/>
        <w:bidi w:val="1"/>
      </w:pPr>
      <w:r>
        <w:rPr>
          <w:b w:val="0"/>
          <w:rtl w:val="1"/>
        </w:rPr>
        <w:t>2. Equipment Core وإدارة معدات المؤجر.</w:t>
      </w:r>
    </w:p>
    <w:p>
      <w:pPr>
        <w:jc w:val="right"/>
        <w:bidi w:val="1"/>
      </w:pPr>
      <w:r>
        <w:rPr>
          <w:b w:val="0"/>
          <w:rtl w:val="1"/>
        </w:rPr>
        <w:t>3. سوق المعدات: التصفح والبحث والتصفية وصفحة المعدة.</w:t>
      </w:r>
    </w:p>
    <w:p>
      <w:pPr>
        <w:jc w:val="right"/>
        <w:bidi w:val="1"/>
      </w:pPr>
      <w:r>
        <w:rPr>
          <w:b w:val="0"/>
          <w:rtl w:val="1"/>
        </w:rPr>
        <w:t>4. تطوير Request ليتوافق مع نموذج المعدات.</w:t>
      </w:r>
    </w:p>
    <w:p>
      <w:pPr>
        <w:jc w:val="right"/>
        <w:bidi w:val="1"/>
      </w:pPr>
      <w:r>
        <w:rPr>
          <w:b w:val="0"/>
          <w:rtl w:val="1"/>
        </w:rPr>
        <w:t>5. Matching والفرص.</w:t>
      </w:r>
    </w:p>
    <w:p>
      <w:pPr>
        <w:jc w:val="right"/>
        <w:bidi w:val="1"/>
      </w:pPr>
      <w:r>
        <w:rPr>
          <w:b w:val="0"/>
          <w:rtl w:val="1"/>
        </w:rPr>
        <w:t>6. Offers المرتبطة بمعدات حقيقية.</w:t>
      </w:r>
    </w:p>
    <w:p>
      <w:pPr>
        <w:jc w:val="right"/>
        <w:bidi w:val="1"/>
      </w:pPr>
      <w:r>
        <w:rPr>
          <w:b w:val="0"/>
          <w:rtl w:val="1"/>
        </w:rPr>
        <w:t>7. مقارنة العروض واختيار عرض.</w:t>
      </w:r>
    </w:p>
    <w:p>
      <w:pPr>
        <w:jc w:val="right"/>
        <w:bidi w:val="1"/>
      </w:pPr>
      <w:r>
        <w:rPr>
          <w:b w:val="0"/>
          <w:rtl w:val="1"/>
        </w:rPr>
        <w:t>8. Booking لتوحيد المسارين.</w:t>
      </w:r>
    </w:p>
    <w:p>
      <w:pPr>
        <w:jc w:val="right"/>
        <w:bidi w:val="1"/>
      </w:pPr>
      <w:r>
        <w:rPr>
          <w:b w:val="0"/>
          <w:rtl w:val="1"/>
        </w:rPr>
        <w:t>9. Execution.</w:t>
      </w:r>
    </w:p>
    <w:p>
      <w:pPr>
        <w:jc w:val="right"/>
        <w:bidi w:val="1"/>
      </w:pPr>
      <w:r>
        <w:rPr>
          <w:b w:val="0"/>
          <w:rtl w:val="1"/>
        </w:rPr>
        <w:t>10. Payment + Commission + Lessor Payout.</w:t>
      </w:r>
    </w:p>
    <w:p>
      <w:pPr>
        <w:jc w:val="right"/>
        <w:bidi w:val="1"/>
      </w:pPr>
      <w:r>
        <w:rPr>
          <w:b w:val="0"/>
          <w:rtl w:val="1"/>
        </w:rPr>
        <w:t>11. Documents والتحقق.</w:t>
      </w:r>
    </w:p>
    <w:p>
      <w:pPr>
        <w:jc w:val="right"/>
        <w:bidi w:val="1"/>
      </w:pPr>
      <w:r>
        <w:rPr>
          <w:b w:val="0"/>
          <w:rtl w:val="1"/>
        </w:rPr>
        <w:t>12. Notifications وReviews.</w:t>
      </w:r>
    </w:p>
    <w:p>
      <w:pPr>
        <w:jc w:val="right"/>
        <w:bidi w:val="1"/>
      </w:pPr>
      <w:r>
        <w:rPr>
          <w:b w:val="0"/>
          <w:rtl w:val="1"/>
        </w:rPr>
        <w:t>13. Admin Operations والنزاعات والاستردادات.</w:t>
      </w:r>
    </w:p>
    <w:p>
      <w:pPr>
        <w:jc w:val="right"/>
        <w:bidi w:val="1"/>
      </w:pPr>
      <w:r>
        <w:rPr>
          <w:b w:val="0"/>
          <w:rtl w:val="1"/>
        </w:rPr>
        <w:t>14. Reports/Settlements.</w:t>
      </w:r>
    </w:p>
    <w:p>
      <w:pPr>
        <w:jc w:val="right"/>
        <w:bidi w:val="1"/>
      </w:pPr>
      <w:r>
        <w:rPr>
          <w:b w:val="0"/>
          <w:rtl w:val="1"/>
        </w:rPr>
        <w:t>15. Production: قاعدة مناسبة، تخزين، HTTPS، Backup، Observability، CI/CD والنشر.</w:t>
      </w:r>
    </w:p>
    <w:p>
      <w:pPr>
        <w:pStyle w:val="Heading1"/>
        <w:jc w:val="right"/>
        <w:bidi w:val="1"/>
      </w:pPr>
      <w:r>
        <w:rPr>
          <w:rtl w:val="1"/>
        </w:rPr>
        <w:t>10. قواعد هندسية حاكمة</w:t>
      </w:r>
    </w:p>
    <w:p>
      <w:pPr>
        <w:jc w:val="right"/>
        <w:bidi w:val="1"/>
      </w:pPr>
      <w:r>
        <w:rPr>
          <w:b w:val="0"/>
          <w:rtl w:val="1"/>
        </w:rPr>
        <w:t>• لا تُبنى ميزة قبل معرفة موقعها في الخريطة واعتمادياتها ومستخدمها وحالاتها ومعايير قبولها.</w:t>
      </w:r>
    </w:p>
    <w:p>
      <w:pPr>
        <w:jc w:val="right"/>
        <w:bidi w:val="1"/>
      </w:pPr>
      <w:r>
        <w:rPr>
          <w:b w:val="0"/>
          <w:rtl w:val="1"/>
        </w:rPr>
        <w:t>• لا إعادة كتابة للمشروع من الصفر ما دام الموجود قابلًا للتطوير.</w:t>
      </w:r>
    </w:p>
    <w:p>
      <w:pPr>
        <w:jc w:val="right"/>
        <w:bidi w:val="1"/>
      </w:pPr>
      <w:r>
        <w:rPr>
          <w:b w:val="0"/>
          <w:rtl w:val="1"/>
        </w:rPr>
        <w:t>• التغييرات المفاهيمية مثل broker → lessor تُنفذ تدريجيًا عند لمس الجزء، وليس بحملة Rename واسعة بلا قيمة فورية.</w:t>
      </w:r>
    </w:p>
    <w:p>
      <w:pPr>
        <w:jc w:val="right"/>
        <w:bidi w:val="1"/>
      </w:pPr>
      <w:r>
        <w:rPr>
          <w:b w:val="0"/>
          <w:rtl w:val="1"/>
        </w:rPr>
        <w:t>• لا Offers قبل Equipment؛ ولا Execution/Payment قبل Booking.</w:t>
      </w:r>
    </w:p>
    <w:p>
      <w:pPr>
        <w:jc w:val="right"/>
        <w:bidi w:val="1"/>
      </w:pPr>
      <w:r>
        <w:rPr>
          <w:b w:val="0"/>
          <w:rtl w:val="1"/>
        </w:rPr>
        <w:t>• لا بيانات وهمية مقدمة كحقيقية؛ استخدم Empty States.</w:t>
      </w:r>
    </w:p>
    <w:p>
      <w:pPr>
        <w:jc w:val="right"/>
        <w:bidi w:val="1"/>
      </w:pPr>
      <w:r>
        <w:rPr>
          <w:b w:val="0"/>
          <w:rtl w:val="1"/>
        </w:rPr>
        <w:t>• الملكية والصلاحيات والتحقق تُفرض على Backend، لا على الواجهة فقط.</w:t>
      </w:r>
    </w:p>
    <w:p>
      <w:pPr>
        <w:jc w:val="right"/>
        <w:bidi w:val="1"/>
      </w:pPr>
      <w:r>
        <w:rPr>
          <w:b w:val="0"/>
          <w:rtl w:val="1"/>
        </w:rPr>
        <w:t>• main يمثل النسخة المستقرة؛ الميزات الكبيرة تُنفذ في feature branches وتُدمج بعد الاختبار والمراجعة.</w:t>
      </w:r>
    </w:p>
    <w:p>
      <w:pPr>
        <w:jc w:val="right"/>
        <w:bidi w:val="1"/>
      </w:pPr>
      <w:r>
        <w:rPr>
          <w:b w:val="0"/>
          <w:rtl w:val="1"/>
        </w:rPr>
        <w:t>• تُحدّث هذه الوثيقة بعد كل Milestone رئيسية لتظل مرجع المشروع.</w:t>
      </w:r>
    </w:p>
    <w:p>
      <w:pPr>
        <w:pStyle w:val="Heading1"/>
        <w:jc w:val="right"/>
        <w:bidi w:val="1"/>
      </w:pPr>
      <w:r>
        <w:rPr>
          <w:rtl w:val="1"/>
        </w:rPr>
        <w:t>11. بوابة القرار لكل Milestone</w:t>
      </w:r>
    </w:p>
    <w:p>
      <w:pPr>
        <w:jc w:val="right"/>
        <w:bidi w:val="1"/>
      </w:pPr>
      <w:r>
        <w:rPr>
          <w:b w:val="0"/>
          <w:rtl w:val="1"/>
        </w:rPr>
        <w:t>قبل التنفيذ: Goal → Actor → User Flow → Domain/Data → Permissions → UI States → Edge Cases → Tests → Acceptance Criteria.</w:t>
      </w:r>
    </w:p>
    <w:p>
      <w:pPr>
        <w:jc w:val="right"/>
        <w:bidi w:val="1"/>
      </w:pPr>
      <w:r>
        <w:rPr>
          <w:b w:val="0"/>
          <w:rtl w:val="1"/>
        </w:rPr>
        <w:t>بعد التنفيذ: Tests PASS → Review Diff → Update Blueprint/Roadmap → Commit/PR → Merge → تحديد NEXT.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