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Documento técnico LLD</w:t>
        <w:br/>
      </w:r>
      <w:r>
        <w:rPr>
          <w:b/>
        </w:rPr>
        <w:t>MVP y paper trading en Polymarket</w:t>
      </w:r>
    </w:p>
    <w:p>
      <w:pPr>
        <w:pStyle w:val="SubtitleCustom"/>
      </w:pPr>
      <w:r>
        <w:t>Alfa 1: incoherencias entre mercados relacionados</w:t>
        <w:br/>
      </w:r>
      <w:r>
        <w:t>Alfa 2: prima de miedo / FOMO en colas</w:t>
        <w:br/>
      </w:r>
      <w:r>
        <w:t>Enfoque: Python de bajo nivel, mínima dependencia, feeds oficiales, hold-to-resolution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</w:tcPr>
          <w:p>
            <w:r>
              <w:t>Fecha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</w:tcPr>
          <w:p>
            <w:r>
              <w:t>22/03/2026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</w:tcPr>
          <w:p>
            <w:r>
              <w:t>Alcance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</w:tcPr>
          <w:p>
            <w:r>
              <w:t>MVP, paper trading y observabilidad post-operativa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r>
              <w:t>Feeds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Gamma API, CLOB REST read, Market WS, RTDS, prices-history, fee-rate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Exclusiones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Sin market making, sin venta antes de expiración, sin IV externa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7FC"/>
          </w:tcPr>
          <w:p>
            <w:r/>
            <w:r>
              <w:rPr>
                <w:b/>
                <w:color w:val="14385E"/>
              </w:rPr>
              <w:t xml:space="preserve">Supuesto rector - </w:t>
            </w:r>
            <w:r>
              <w:rPr>
                <w:sz w:val="19"/>
              </w:rPr>
              <w:t>Este documento asume exclusivamente fuentes oficiales de Polymarket. El objetivo es definir un diseño de bajo nivel implementable en Python con el menor número posible de líneas y dependencias, sin sacrificar trazabilidad, separación de responsabilidades y capacidad de validación posterior.</w:t>
            </w:r>
          </w:p>
        </w:tc>
      </w:tr>
    </w:tbl>
    <w:p/>
    <w:p>
      <w:pPr>
        <w:pStyle w:val="Heading1"/>
      </w:pPr>
      <w:r>
        <w:t>1. Propósito y alcance</w:t>
      </w:r>
    </w:p>
    <w:p>
      <w:r>
        <w:t>Definir el diseño de bajo nivel (LLD) para dos estrategias de paper trading en mercados crypto de Polymarket: incoherencias entre mercados relacionados y prima de miedo / FOMO en colas.</w:t>
      </w:r>
    </w:p>
    <w:p>
      <w:r>
        <w:t>Acotar el desarrollo a feeds oficiales, lectura pública sin autenticación y ejecución simulada hold-to-resolution.</w:t>
      </w:r>
    </w:p>
    <w:p>
      <w:r>
        <w:t>Especificar el flujo completo: adquisición de datos, normalización, señalización pre-operativa, simulación de ejecución, persistencia, resolución y visualización post-operativa.</w:t>
      </w:r>
    </w:p>
    <w:p>
      <w:pPr>
        <w:pStyle w:val="Heading1"/>
      </w:pPr>
      <w:r>
        <w:t>2. Restricciones de diseño</w:t>
      </w:r>
    </w:p>
    <w:p>
      <w:r>
        <w:t>Dependencias externas mínimas: requests para REST y websocket-client para streaming. El resto debe apoyarse preferentemente en la biblioteca estándar: dataclasses, sqlite3, json, re, logging, statistics, math y pathlib.</w:t>
      </w:r>
    </w:p>
    <w:p>
      <w:r>
        <w:t>SDK oficial de Python disponible, pero excluido del núcleo del MVP para reducir LOC, dependencias transversales y superficie de abstracción. Se reserva como opción de paridad funcional o futura ejecución real.</w:t>
      </w:r>
    </w:p>
    <w:p>
      <w:r>
        <w:t>El motor no cerrará posiciones antes de expiración. Por tanto, el valor del trade se decide únicamente por el coste de entrada all-in y el payout final de resolución.</w:t>
      </w:r>
    </w:p>
    <w:p>
      <w:r>
        <w:t>Todo timestamp interno se normaliza a UTC. Todas las probabilidades y precios se almacenan como decimales en el rango [0, 1].</w:t>
      </w:r>
    </w:p>
    <w:p>
      <w:pPr>
        <w:pStyle w:val="Heading1"/>
      </w:pPr>
      <w:r>
        <w:t>3. Feeds oficiales y contratos de entrada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Fuente oficial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Base / canal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Auth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Uso en MVP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Datos consumidos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Rol primario</w:t>
            </w:r>
          </w:p>
        </w:tc>
      </w:tr>
      <w:tr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Gamma API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https://gamma-api.polymarket.com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No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Sí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events, markets, slugs, status, token ids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Descubrimiento y catálogo</w:t>
            </w:r>
          </w:p>
        </w:tc>
      </w:tr>
      <w:tr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CLOB REST read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https://clob.polymarket.com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No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Sí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book, price, midpoint, spread, fee-rate, tick-size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Estado de mercado y costes</w:t>
            </w:r>
          </w:p>
        </w:tc>
      </w:tr>
      <w:tr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Market WebSocket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wss://ws-subscriptions-clob.polymarket.com/ws/market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No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Sí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book, price_change, last_trade_price, best_bid_ask, market_resolved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Tiempo real y settlement</w:t>
            </w:r>
          </w:p>
        </w:tc>
      </w:tr>
      <w:tr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RTDS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wss://ws-live-data.polymarket.com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Opcional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Sí para alfa 2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crypto prices en tiempo real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Subyacente spot oficial</w:t>
            </w:r>
          </w:p>
        </w:tc>
      </w:tr>
      <w:tr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prices-history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GET /prices-history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No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Sí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histórico agregado por market/asset id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Calibración, replay y QA</w:t>
            </w:r>
          </w:p>
        </w:tc>
      </w:tr>
      <w:tr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Data API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https://data-api.polymarket.com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No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Opcional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trades / analytics</w:t>
            </w:r>
          </w:p>
        </w:tc>
        <w:tc>
          <w:tcPr>
            <w:tcW w:type="dxa" w:w="16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Auditoría y benchmarking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7FC"/>
          </w:tcPr>
          <w:p>
            <w:r/>
            <w:r>
              <w:rPr>
                <w:b/>
                <w:color w:val="14385E"/>
              </w:rPr>
              <w:t xml:space="preserve">Criterio de ingestión - </w:t>
            </w:r>
            <w:r>
              <w:rPr>
                <w:sz w:val="19"/>
              </w:rPr>
              <w:t>La adquisición se diseñará WS-first y REST-fallback. Gamma se consulta para bootstrap y refresco del universo; el Market WS mantiene el estado vivo de los token ids; el REST se usa para resync, histórico y cálculo de costes. RTDS solo se activa para el alfa de colas y su histórico deberá persistirse localmente desde el día 0.</w:t>
            </w:r>
          </w:p>
        </w:tc>
      </w:tr>
    </w:tbl>
    <w:p/>
    <w:p>
      <w:pPr>
        <w:pStyle w:val="Heading1"/>
      </w:pPr>
      <w:r>
        <w:t>4. Arquitectura lógica mínima</w:t>
      </w:r>
    </w:p>
    <w:p>
      <w:r>
        <w:t>Mapa de módulos propuesto:</w:t>
      </w:r>
    </w:p>
    <w:p>
      <w:pPr>
        <w:pStyle w:val="CodeBlock"/>
      </w:pPr>
      <w:r>
        <w:t>app/config.py</w:t>
      </w:r>
    </w:p>
    <w:p>
      <w:pPr>
        <w:pStyle w:val="CodeBlock"/>
      </w:pPr>
      <w:r>
        <w:t>app/runtime.py</w:t>
      </w:r>
    </w:p>
    <w:p>
      <w:pPr>
        <w:pStyle w:val="CodeBlock"/>
      </w:pPr>
      <w:r>
        <w:t>feeds/gamma_client.py</w:t>
      </w:r>
    </w:p>
    <w:p>
      <w:pPr>
        <w:pStyle w:val="CodeBlock"/>
      </w:pPr>
      <w:r>
        <w:t>feeds/clob_reader.py</w:t>
      </w:r>
    </w:p>
    <w:p>
      <w:pPr>
        <w:pStyle w:val="CodeBlock"/>
      </w:pPr>
      <w:r>
        <w:t>feeds/market_ws_client.py</w:t>
      </w:r>
    </w:p>
    <w:p>
      <w:pPr>
        <w:pStyle w:val="CodeBlock"/>
      </w:pPr>
      <w:r>
        <w:t>feeds/rtds_client.py</w:t>
      </w:r>
    </w:p>
    <w:p>
      <w:pPr>
        <w:pStyle w:val="CodeBlock"/>
      </w:pPr>
      <w:r>
        <w:t>normalize/market_parser.py</w:t>
      </w:r>
    </w:p>
    <w:p>
      <w:pPr>
        <w:pStyle w:val="CodeBlock"/>
      </w:pPr>
      <w:r>
        <w:t>normalize/group_builder.py</w:t>
      </w:r>
    </w:p>
    <w:p>
      <w:pPr>
        <w:pStyle w:val="CodeBlock"/>
      </w:pPr>
      <w:r>
        <w:t>features/book_features.py</w:t>
      </w:r>
    </w:p>
    <w:p>
      <w:pPr>
        <w:pStyle w:val="CodeBlock"/>
      </w:pPr>
      <w:r>
        <w:t>features/underlying_features.py</w:t>
      </w:r>
    </w:p>
    <w:p>
      <w:pPr>
        <w:pStyle w:val="CodeBlock"/>
      </w:pPr>
      <w:r>
        <w:t>signal/related_market_incoherence.py</w:t>
      </w:r>
    </w:p>
    <w:p>
      <w:pPr>
        <w:pStyle w:val="CodeBlock"/>
      </w:pPr>
      <w:r>
        <w:t>signal/tail_premium.py</w:t>
      </w:r>
    </w:p>
    <w:p>
      <w:pPr>
        <w:pStyle w:val="CodeBlock"/>
      </w:pPr>
      <w:r>
        <w:t>execution/paper_broker.py</w:t>
      </w:r>
    </w:p>
    <w:p>
      <w:pPr>
        <w:pStyle w:val="CodeBlock"/>
      </w:pPr>
      <w:r>
        <w:t>storage/sqlite_store.py</w:t>
      </w:r>
    </w:p>
    <w:p>
      <w:pPr>
        <w:pStyle w:val="CodeBlock"/>
      </w:pPr>
      <w:r>
        <w:t>analytics/trade_views.py</w:t>
      </w:r>
    </w:p>
    <w:p>
      <w:pPr>
        <w:pStyle w:val="CodeBlock"/>
      </w:pPr>
      <w:r>
        <w:t>tests/</w:t>
      </w:r>
    </w:p>
    <w:p>
      <w:r>
        <w:t>Regla de dependencia: feeds -&gt; normalize -&gt; features -&gt; signal -&gt; execution -&gt; storage -&gt; analytics. Ningún módulo de señal debe hablar directamente con sockets o SQLite.</w:t>
      </w:r>
    </w:p>
    <w:p>
      <w:pPr>
        <w:pStyle w:val="Heading2"/>
      </w:pPr>
      <w:r>
        <w:t>4.1 Secuencia runtime</w:t>
      </w:r>
    </w:p>
    <w:p>
      <w:r>
        <w:t>1. bootstrap_universe(): lee Gamma y construye market_definition por slug / market id / token ids.</w:t>
      </w:r>
    </w:p>
    <w:p>
      <w:r>
        <w:t>2. build_groups(): agrupa mercados comparables por underlying, familia, tenor y operator_type.</w:t>
      </w:r>
    </w:p>
    <w:p>
      <w:r>
        <w:t>3. subscribe_market_ws(): suscribe todos los token ids candidatos; actualiza market_state en memoria.</w:t>
      </w:r>
    </w:p>
    <w:p>
      <w:r>
        <w:t>4. subscribe_rtds(): solo para alfa 2; actualiza underlying_state por símbolo.</w:t>
      </w:r>
    </w:p>
    <w:p>
      <w:r>
        <w:t>5. compute_features(): deriva probabilidad de referencia, spreads efectivos, liquidez visible, distancia al strike y bucket temporal.</w:t>
      </w:r>
    </w:p>
    <w:p>
      <w:r>
        <w:t>6. score_signals(): ejecuta reglas de alfa 1 y alfa 2.</w:t>
      </w:r>
    </w:p>
    <w:p>
      <w:r>
        <w:t>7. paper_execute(): si pasa filtros, simula fill al coste all-in y persiste trade + snapshot de features.</w:t>
      </w:r>
    </w:p>
    <w:p>
      <w:r>
        <w:t>8. await_resolution(): escucha market_resolved o revalida por estado; liquida a 1 o 0.</w:t>
      </w:r>
    </w:p>
    <w:p>
      <w:r>
        <w:t>9. render_views(): genera vistas post-operativas y reportes.</w:t>
      </w:r>
    </w:p>
    <w:p>
      <w:pPr>
        <w:pStyle w:val="Heading2"/>
      </w:pPr>
      <w:r>
        <w:t>4.2 Entidades y contratos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Entidad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Campos mínimos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Uso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market_definition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market_slug, market_id, yes_token_id, no_token_id, question, family, operator_type, strike, expiry_ts, status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Catálogo estable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market_state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token_id, best_bid, best_ask, midpoint, last_trade, spread, tick_size, visible_depth, last_update_ts, resolved_flag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Estado vivo del libro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underlying_state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symbol, spot, source, last_update_ts, rolling_return_std, rolling_range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Subyacente RTDS para alfa 2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signal_candidate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alpha_name, market_id, side, reference_prob, fair_prob, edge_prob, liquidity_score, staleness_ms, group_id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Objeto de decisión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paper_trade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trade_id, market_id, side, qty, entry_px, fee_bps, effective_cost, opened_ts, alpha_name, rationale_json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Blotter de entrada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resolution_record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trade_id, resolved_ts, payout, pnl_abs, pnl_pct, outcome_label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Liquidación final</w:t>
            </w:r>
          </w:p>
        </w:tc>
      </w:tr>
    </w:tbl>
    <w:p/>
    <w:p>
      <w:pPr>
        <w:pStyle w:val="Heading1"/>
      </w:pPr>
      <w:r>
        <w:t>5. Tratamiento previo a la señalización</w:t>
      </w:r>
    </w:p>
    <w:p>
      <w:r>
        <w:t>Las dos estrategias comparten una fase de saneamiento y enriquecimiento previa a cualquier señal. Esta fase debe ser idéntica para backfill, replay y tiempo real.</w:t>
      </w:r>
    </w:p>
    <w:p>
      <w:pPr>
        <w:pStyle w:val="Heading2"/>
      </w:pPr>
      <w:r>
        <w:t>5.1 Normalización semántica de mercado</w:t>
      </w:r>
    </w:p>
    <w:p>
      <w:r>
        <w:t>Parsear la pregunta y/o slug para clasificar operator_type: reach_up, dip_down, close_above, close_below, range_between.</w:t>
      </w:r>
    </w:p>
    <w:p>
      <w:r>
        <w:t>Extraer underlying y strike mediante expresiones regulares controladas; ejemplo: reach $80,000 -&gt; strike=80000, family=reach_up.</w:t>
      </w:r>
    </w:p>
    <w:p>
      <w:r>
        <w:t>Calcular tenor_seconds = expiry_ts - now_utc.</w:t>
      </w:r>
    </w:p>
    <w:p>
      <w:r>
        <w:t>Asignar temporal_bucket estándar: intraday, 1d-3d, 4d-7d, &gt;7d.</w:t>
      </w:r>
    </w:p>
    <w:p>
      <w:r>
        <w:t>Descartar mercados sin strike interpretable, con status no activo o con resolución ambigua.</w:t>
      </w:r>
    </w:p>
    <w:p>
      <w:pPr>
        <w:pStyle w:val="Heading2"/>
      </w:pPr>
      <w:r>
        <w:t>5.2 Referencia de probabilidad operable</w:t>
      </w:r>
    </w:p>
    <w:p>
      <w:r>
        <w:t>Nunca usar el precio de pantalla como único dato de trading. La referencia de señal se construye desde el libro.</w:t>
      </w:r>
    </w:p>
    <w:p>
      <w:r>
        <w:t>reference_prob = midpoint si spread &lt;= spread_threshold y libro fresco.</w:t>
      </w:r>
    </w:p>
    <w:p>
      <w:r>
        <w:t>Si el spread es ancho o el midpoint no es fiable, usar last_trade reciente como proxy secundaria de pricing.</w:t>
      </w:r>
    </w:p>
    <w:p>
      <w:r>
        <w:t>El coste de ejecución siempre usa best ask del lado que se compra, no la referencia de comparación.</w:t>
      </w:r>
    </w:p>
    <w:p>
      <w:r>
        <w:t>Si staleness_ms supera el TTL operativo, el mercado queda inhabilitado para señal.</w:t>
      </w:r>
    </w:p>
    <w:p>
      <w:pPr>
        <w:pStyle w:val="Heading2"/>
      </w:pPr>
      <w:r>
        <w:t>5.3 Filtros operativos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Filtro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Regla LLD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Motivo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freshness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now_ms - market_state.last_update_ts &lt;= ttl_ms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Evitar señales sobre libro obsoleto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spread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spread &lt;= max_spread_prob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Evitar edge ficticio destruido por coste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depth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visible_depth &gt;= min_depth_qty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Evitar slippage artificial en paper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tick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entry_px compatible con tick_size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Coherencia con mercado real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fees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fee-rate consultado por token_id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Coste all-in consistente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concentration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max_exposure por grupo/tenor/underlying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Control de riesgo correlacionado</w:t>
            </w:r>
          </w:p>
        </w:tc>
      </w:tr>
    </w:tbl>
    <w:p/>
    <w:p>
      <w:pPr>
        <w:pStyle w:val="Heading1"/>
      </w:pPr>
      <w:r>
        <w:t>6. Alfa 1 - Incoherencias entre mercados relacionados</w:t>
      </w:r>
    </w:p>
    <w:p>
      <w:r>
        <w:t>Objetivo: detectar violaciones de estructura probabilística entre mercados del mismo underlying y horizonte comparable, sin necesidad de modelar el precio spot mejor que el crowd.</w:t>
      </w:r>
    </w:p>
    <w:p>
      <w:pPr>
        <w:pStyle w:val="Heading2"/>
      </w:pPr>
      <w:r>
        <w:t>6.1 Universo elegible</w:t>
      </w:r>
    </w:p>
    <w:p>
      <w:r>
        <w:t>Familias compatibles: reach_up, dip_down, close_above, close_below y, opcionalmente, range_between si existe un set suficientemente completo.</w:t>
      </w:r>
    </w:p>
    <w:p>
      <w:r>
        <w:t>Los grupos se forman por clave: underlying + operator_type + horizon_bucket + expiry_proximity_window.</w:t>
      </w:r>
    </w:p>
    <w:p>
      <w:r>
        <w:t>Para operator_type con strikes ordenables, el grupo debe contener al menos 2 mercados comparables.</w:t>
      </w:r>
    </w:p>
    <w:p>
      <w:pPr>
        <w:pStyle w:val="Heading2"/>
      </w:pPr>
      <w:r>
        <w:t>6.2 Reglas de coherencia</w:t>
      </w:r>
    </w:p>
    <w:p>
      <w:r>
        <w:t>Monotonicidad ascendente: para reach_up o close_above, si strike_a &lt; strike_b entonces P_yes(a) &gt;= P_yes(b).</w:t>
      </w:r>
    </w:p>
    <w:p>
      <w:r>
        <w:t>Monotonicidad descendente: para dip_down, si strike_a &lt; strike_b entonces P_yes(a) &lt;= P_yes(b).</w:t>
      </w:r>
    </w:p>
    <w:p>
      <w:r>
        <w:t>Dominancia temporal: a mismo strike y operador, una ventana más larga no debe tener menor probabilidad que una más corta.</w:t>
      </w:r>
    </w:p>
    <w:p>
      <w:r>
        <w:t>Consistencia local: la distancia entre probabilidades de strikes vecinos no debe colapsar por debajo de un mínimo razonable si la separación de strike es material.</w:t>
      </w:r>
    </w:p>
    <w:p>
      <w:pPr>
        <w:pStyle w:val="Heading2"/>
      </w:pPr>
      <w:r>
        <w:t>6.3 Features específicas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Feature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Fórmula LLD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Tipo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Uso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ordered_rank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posición del strike dentro del grupo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int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Comparación estructural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reference_prob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midpoint o last_trade según reglas comunes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float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Pricing comparable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monotonic_violation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max(0, P_yes(b) - P_yes(a)) o inversa según operador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float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Severidad de incoherencia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temporal_violation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max(0, P_yes(short) - P_yes(long))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float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Violación entre vencimientos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liquidity_score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función(depth, spread)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float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Filtro de ejecutabilidad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edge_after_cost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violation - spread_cost - fee_cost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float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Entrada final</w:t>
            </w:r>
          </w:p>
        </w:tc>
      </w:tr>
    </w:tbl>
    <w:p/>
    <w:p>
      <w:pPr>
        <w:pStyle w:val="Heading2"/>
      </w:pPr>
      <w:r>
        <w:t>6.4 Regla de señal</w:t>
      </w:r>
    </w:p>
    <w:p>
      <w:r>
        <w:t>Paso 1: ordenar el grupo por strike y comparar pares vecinos.</w:t>
      </w:r>
    </w:p>
    <w:p>
      <w:r>
        <w:t>Paso 2: calcular violation_prob para cada relación esperada.</w:t>
      </w:r>
    </w:p>
    <w:p>
      <w:r>
        <w:t>Paso 3: elegir el leg más claro para un trade de una sola pierna hold-to-resolution. En MVP, se prioriza comprar No sobre el mercado que parece sobrevalorado.</w:t>
      </w:r>
    </w:p>
    <w:p>
      <w:r>
        <w:t>Paso 4: exigir edge_after_cost &gt;= min_edge_prob y liquidity_score &gt;= min_liquidity_score.</w:t>
      </w:r>
    </w:p>
    <w:p>
      <w:r>
        <w:t>Paso 5: persistir signal_candidate, incluso si no hay ejecución, para poder auditar falsos negativos.</w:t>
      </w:r>
    </w:p>
    <w:p>
      <w:r>
        <w:t>Contrato práctico: si un mercado de strike más exigente cotiza demasiado cerca o por encima del mercado de strike menos exigente, la acción por defecto del MVP será comprar No en el strike aparentemente caro, evitando cestas multileg en la primera versión.</w:t>
      </w:r>
    </w:p>
    <w:p>
      <w:pPr>
        <w:pStyle w:val="Heading2"/>
      </w:pPr>
      <w:r>
        <w:t>6.5 Ejecución paper y liquidación</w:t>
      </w:r>
    </w:p>
    <w:p>
      <w:r>
        <w:t>entry_px = best_ask del lado comprado.</w:t>
      </w:r>
    </w:p>
    <w:p>
      <w:r>
        <w:t>qty se limita por max_notional_por_trade y por el tamaño visible en top-of-book.</w:t>
      </w:r>
    </w:p>
    <w:p>
      <w:r>
        <w:t>effective_cost = qty * entry_px + fee_cost.</w:t>
      </w:r>
    </w:p>
    <w:p>
      <w:r>
        <w:t>No se permite pyramiding dentro del mismo cluster salvo que el sistema haya sido configurado explícitamente para eso.</w:t>
      </w:r>
    </w:p>
    <w:p>
      <w:r>
        <w:t>La liquidación se produce al evento market_resolved o al refresco confirmado del estado final.</w:t>
      </w:r>
    </w:p>
    <w:p>
      <w:pPr>
        <w:pStyle w:val="Heading2"/>
      </w:pPr>
      <w:r>
        <w:t>6.6 Post-operativa y visualización</w:t>
      </w:r>
    </w:p>
    <w:p>
      <w:r>
        <w:t>Vista 1 - incoherence_blotter: tabla de trades con strike, grupo, violation_prob, edge_after_cost, coste y resultado final.</w:t>
      </w:r>
    </w:p>
    <w:p>
      <w:r>
        <w:t>Vista 2 - cluster_heatmap: PnL por underlying x bucket temporal x operator_type.</w:t>
      </w:r>
    </w:p>
    <w:p>
      <w:r>
        <w:t>Vista 3 - signal_vs_outcome: distribución de violation_prob frente a acierto/fallo.</w:t>
      </w:r>
    </w:p>
    <w:p>
      <w:r>
        <w:t>Vista 4 - rejected_signals: señales descartadas por spread, staleness o depth insuficiente.</w:t>
      </w:r>
    </w:p>
    <w:p>
      <w:pPr>
        <w:pStyle w:val="Heading1"/>
      </w:pPr>
      <w:r>
        <w:t>7. Alfa 2 - Prima de miedo / FOMO en colas</w:t>
      </w:r>
    </w:p>
    <w:p>
      <w:r>
        <w:t>Objetivo: explotar sobreprecio de eventos de cola, normalmente vía compra de No en escenarios extremos de crash o moonshot, sin usar datos externos de IV y apoyándose solo en feeds oficiales + histórico local prospectivo.</w:t>
      </w:r>
    </w:p>
    <w:p>
      <w:pPr>
        <w:pStyle w:val="Heading2"/>
      </w:pPr>
      <w:r>
        <w:t>7.1 Restricción metodológica crítica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3E8"/>
          </w:tcPr>
          <w:p>
            <w:r/>
            <w:r>
              <w:rPr>
                <w:b/>
                <w:color w:val="14385E"/>
              </w:rPr>
              <w:t xml:space="preserve">Limitación official-only - </w:t>
            </w:r>
            <w:r>
              <w:rPr>
                <w:sz w:val="19"/>
              </w:rPr>
              <w:t>La documentación pública revisada expone RTDS como stream en tiempo real de crypto prices, pero no define un endpoint histórico público equivalente para reconstrucción completa del subyacente. Por ello, el alfa 2 debe arrancar con persistencia local de RTDS desde el día 0 y con un periodo de burn-in antes de confiar en buckets empíricos amplios.</w:t>
            </w:r>
          </w:p>
        </w:tc>
      </w:tr>
    </w:tbl>
    <w:p/>
    <w:p>
      <w:pPr>
        <w:pStyle w:val="Heading2"/>
      </w:pPr>
      <w:r>
        <w:t>7.2 Universo elegible</w:t>
      </w:r>
    </w:p>
    <w:p>
      <w:r>
        <w:t>Operadores más útiles: reach_up, dip_down, close_above y close_below con strikes lejanos al spot.</w:t>
      </w:r>
    </w:p>
    <w:p>
      <w:r>
        <w:t>El mercado debe poder mapearse a un símbolo RTDS compatible.</w:t>
      </w:r>
    </w:p>
    <w:p>
      <w:r>
        <w:t>La distancia al strike debe superar un umbral mínimo para ser tratado como cola; el umbral se define en unidades estandarizadas, no en dólares absolutos.</w:t>
      </w:r>
    </w:p>
    <w:p>
      <w:pPr>
        <w:pStyle w:val="Heading2"/>
      </w:pPr>
      <w:r>
        <w:t>7.3 Features específicas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Feature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Fórmula LLD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Tipo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Uso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spot_rt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último precio RTDS disponible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float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Ancla del subyacente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time_to_expiry_h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(expiry_ts - now_utc) / 3600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float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Escala temporal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rolling_sigma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std de retornos RTDS en ventana configurable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float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Normalización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z_distance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abs(strike - spot_rt) / max(eps, rolling_sigma * spot_rt * sqrt(T))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float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Extremidad de la cola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fair_prob_empirical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hit rate local por bucket(z_distance, operator_type, temporal_bucket)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float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Probabilidad interna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tail_premium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reference_prob - fair_prob_empirical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float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Sobreprecio de cola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sample_size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n observaciones del bucket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int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Confianza mínima</w:t>
            </w:r>
          </w:p>
        </w:tc>
      </w:tr>
    </w:tbl>
    <w:p/>
    <w:p>
      <w:pPr>
        <w:pStyle w:val="Heading2"/>
      </w:pPr>
      <w:r>
        <w:t>7.4 Construcción del modelo empírico mínimo</w:t>
      </w:r>
    </w:p>
    <w:p>
      <w:r>
        <w:t>Persistir cada tick RTDS relevante: symbol, spot, timestamp.</w:t>
      </w:r>
    </w:p>
    <w:p>
      <w:r>
        <w:t>Persistir snapshots operativos por mercado: reference_prob, strike, operator_type, tenor y z_distance en el instante de evaluación.</w:t>
      </w:r>
    </w:p>
    <w:p>
      <w:r>
        <w:t>Una vez resuelto el mercado, etiquetar outcome_hit = 1 si el evento se cumplió, 0 en caso contrario.</w:t>
      </w:r>
    </w:p>
    <w:p>
      <w:r>
        <w:t>Construir tablas de frecuencias por bucket discreto: operator_type x temporal_bucket x z_bucket.</w:t>
      </w:r>
    </w:p>
    <w:p>
      <w:r>
        <w:t>Aplicar suavizado conservador: no operar buckets con sample_size &lt; min_bucket_obs.</w:t>
      </w:r>
    </w:p>
    <w:p>
      <w:pPr>
        <w:pStyle w:val="Heading2"/>
      </w:pPr>
      <w:r>
        <w:t>7.5 Regla de señal</w:t>
      </w:r>
    </w:p>
    <w:p>
      <w:r>
        <w:t>Paso 1: identificar candidatos con z_distance &gt;= z_min.</w:t>
      </w:r>
    </w:p>
    <w:p>
      <w:r>
        <w:t>Paso 2: recuperar fair_prob_empirical del bucket correspondiente.</w:t>
      </w:r>
    </w:p>
    <w:p>
      <w:r>
        <w:t>Paso 3: calcular tail_premium = reference_prob - fair_prob_empirical.</w:t>
      </w:r>
    </w:p>
    <w:p>
      <w:r>
        <w:t>Paso 4: priorizar la compra de No cuando tail_premium &gt; min_tail_premium y sample_size &gt;= min_bucket_obs.</w:t>
      </w:r>
    </w:p>
    <w:p>
      <w:r>
        <w:t>Paso 5: bloquear señales si rolling_sigma es anómala, si RTDS está stale o si el mercado carece de profundidad suficiente.</w:t>
      </w:r>
    </w:p>
    <w:p>
      <w:r>
        <w:t>En el MVP, la lógica de compra de Yes en colas infrapreciadas se deja desactivada por defecto. La primera versión se centra en el caso más robusto: No sobre colas aparentemente caras.</w:t>
      </w:r>
    </w:p>
    <w:p>
      <w:pPr>
        <w:pStyle w:val="Heading2"/>
      </w:pPr>
      <w:r>
        <w:t>7.6 Ejecución paper y liquidación</w:t>
      </w:r>
    </w:p>
    <w:p>
      <w:r>
        <w:t>entry_px y fee_cost se calculan igual que en el alfa 1.</w:t>
      </w:r>
    </w:p>
    <w:p>
      <w:r>
        <w:t>Debe guardarse el snapshot exacto de spot_rt y rolling_sigma usado en la decisión para evitar look-ahead bias en auditoría.</w:t>
      </w:r>
    </w:p>
    <w:p>
      <w:r>
        <w:t>Un trade no puede abrirse si el timestamp RTDS y el timestamp del book difieren por encima del skew máximo permitido.</w:t>
      </w:r>
    </w:p>
    <w:p>
      <w:r>
        <w:t>La liquidación final es binaria: payout=1 si el lado comprado gana; payout=0 en caso contrario.</w:t>
      </w:r>
    </w:p>
    <w:p>
      <w:pPr>
        <w:pStyle w:val="Heading2"/>
      </w:pPr>
      <w:r>
        <w:t>7.7 Post-operativa y visualización</w:t>
      </w:r>
    </w:p>
    <w:p>
      <w:r>
        <w:t>Vista 1 - tail_trade_blotter: tabla con strike, spot_rt, z_distance, fair_prob_empirical, tail_premium y resultado.</w:t>
      </w:r>
    </w:p>
    <w:p>
      <w:r>
        <w:t>Vista 2 - calibration_table: acierto real por bucket z_distance frente a fair_prob_empirical.</w:t>
      </w:r>
    </w:p>
    <w:p>
      <w:r>
        <w:t>Vista 3 - premium_histogram: histograma de tail_premium por operador y lado emocional (fear / FOMO).</w:t>
      </w:r>
    </w:p>
    <w:p>
      <w:r>
        <w:t>Vista 4 - equity_by_bucket: curva de PnL por bucket de cola y por temporal_bucket.</w:t>
      </w:r>
    </w:p>
    <w:p>
      <w:pPr>
        <w:pStyle w:val="Heading1"/>
      </w:pPr>
      <w:r>
        <w:t>8. Persistencia mínima (SQLite)</w:t>
      </w:r>
    </w:p>
    <w:p>
      <w:r>
        <w:t>Para reducir dependencias y simplificar despliegue, el MVP persistirá en SQLite. Se evita cualquier ORM en la primera versión.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6"/>
              </w:rPr>
              <w:t>Tabla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6"/>
              </w:rPr>
              <w:t>Clave primaria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6"/>
              </w:rPr>
              <w:t>Campos clave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6"/>
              </w:rPr>
              <w:t>Índices recomendados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market_definition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market_id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slug, yes_token_id, no_token_id, family, operator_type, strike, expiry_ts, status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underlying+expiry_ts; family+operator_type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market_state_latest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token_id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best_bid, best_ask, midpoint, spread, depth, last_update_ts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last_update_ts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rtds_ticks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symbol+ts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spot, source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symbol+ts DESC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feature_snapshot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snapshot_id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market_id, alpha_name, reference_prob, z_distance, violation_prob, sample_size, payload_json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market_id+alpha_name; snapshot_ts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paper_trade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trade_id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market_id, alpha_name, side, qty, entry_px, fee_bps, effective_cost, opened_ts, status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opened_ts; alpha_name+status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resolution_record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trade_id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resolved_ts, payout, pnl_abs, pnl_pct, outcome_label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6"/>
              </w:rPr>
              <w:t>resolved_ts</w:t>
            </w:r>
          </w:p>
        </w:tc>
      </w:tr>
    </w:tbl>
    <w:p/>
    <w:p>
      <w:pPr>
        <w:pStyle w:val="Heading1"/>
      </w:pPr>
      <w:r>
        <w:t>9. Contratos Python de bajo nivel</w:t>
      </w:r>
    </w:p>
    <w:p>
      <w:r>
        <w:t>Nombres y responsabilidades sugeridos. No es código final, sino la interfaz mínima que el diseño presupone.</w:t>
      </w:r>
    </w:p>
    <w:p>
      <w:pPr>
        <w:pStyle w:val="CodeBlock"/>
      </w:pPr>
      <w:r>
        <w:t>def fetch_active_markets(limit: int, offset: int) -&gt; list[dict]: ...</w:t>
      </w:r>
    </w:p>
    <w:p>
      <w:pPr>
        <w:pStyle w:val="CodeBlock"/>
      </w:pPr>
      <w:r>
        <w:t>def parse_market_definition(raw_market: dict) -&gt; market_definition: ...</w:t>
      </w:r>
    </w:p>
    <w:p>
      <w:pPr>
        <w:pStyle w:val="CodeBlock"/>
      </w:pPr>
      <w:r>
        <w:t>def build_related_groups(markets: list[market_definition]) -&gt; dict[str, list[market_definition]]: ...</w:t>
      </w:r>
    </w:p>
    <w:p>
      <w:pPr>
        <w:pStyle w:val="CodeBlock"/>
      </w:pPr>
      <w:r>
        <w:t>def update_market_state_from_ws(message: dict, state: dict[str, market_state]) -&gt; None: ...</w:t>
      </w:r>
    </w:p>
    <w:p>
      <w:pPr>
        <w:pStyle w:val="CodeBlock"/>
      </w:pPr>
      <w:r>
        <w:t>def update_underlying_state_from_rtds(message: dict, state: dict[str, underlying_state]) -&gt; None: ...</w:t>
      </w:r>
    </w:p>
    <w:p>
      <w:pPr>
        <w:pStyle w:val="CodeBlock"/>
      </w:pPr>
      <w:r>
        <w:t>def compute_reference_probability(state: market_state) -&gt; float | None: ...</w:t>
      </w:r>
    </w:p>
    <w:p>
      <w:pPr>
        <w:pStyle w:val="CodeBlock"/>
      </w:pPr>
      <w:r>
        <w:t>def score_related_market_incoherence(group: list[market_definition], live_state: dict[str, market_state]) -&gt; list[signal_candidate]: ...</w:t>
      </w:r>
    </w:p>
    <w:p>
      <w:pPr>
        <w:pStyle w:val="CodeBlock"/>
      </w:pPr>
      <w:r>
        <w:t>def score_tail_premium(candidate: market_definition, market_state_obj: market_state, underlying_obj: underlying_state) -&gt; signal_candidate | None: ...</w:t>
      </w:r>
    </w:p>
    <w:p>
      <w:pPr>
        <w:pStyle w:val="CodeBlock"/>
      </w:pPr>
      <w:r>
        <w:t>def simulate_entry(signal_obj: signal_candidate, book_state: market_state, max_notional: float) -&gt; paper_trade | None: ...</w:t>
      </w:r>
    </w:p>
    <w:p>
      <w:pPr>
        <w:pStyle w:val="CodeBlock"/>
      </w:pPr>
      <w:r>
        <w:t>def settle_trade(trade: paper_trade, resolved_label: str) -&gt; resolution_record: ...</w:t>
      </w:r>
    </w:p>
    <w:p>
      <w:pPr>
        <w:pStyle w:val="CodeBlock"/>
      </w:pPr>
      <w:r>
        <w:t>def render_trade_views(db_path: str, output_dir: str) -&gt; None: 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7FC"/>
          </w:tcPr>
          <w:p>
            <w:r/>
            <w:r>
              <w:rPr>
                <w:b/>
                <w:color w:val="14385E"/>
              </w:rPr>
              <w:t xml:space="preserve">Regla de encapsulación - </w:t>
            </w:r>
            <w:r>
              <w:rPr>
                <w:sz w:val="19"/>
              </w:rPr>
              <w:t>Para preservar bajo acoplamiento, los módulos de señal deben recibir estructuras ya normalizadas y nunca mensajes raw de WebSocket. El parsing, saneamiento y tolerancia a fallos pertenecen al borde del sistema.</w:t>
            </w:r>
          </w:p>
        </w:tc>
      </w:tr>
    </w:tbl>
    <w:p/>
    <w:p>
      <w:pPr>
        <w:pStyle w:val="Heading1"/>
      </w:pPr>
      <w:r>
        <w:t>10. Visualización post-operativa</w:t>
      </w:r>
    </w:p>
    <w:p>
      <w:r>
        <w:t>La visualización debe servir a dos objetivos: validación cuantitativa y depuración de lógica. Con dependencia mínima, se recomienda una salida dual: tablas CSV/SQLite y gráficos estáticos con una dependencia opcional única (matplotlib).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Vista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Fuente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Objetivo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trade_blotter.csv / SQL view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paper_trade + resolution_record + feature_snapshot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Auditar cada entrada y su racional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equity_curve.png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resolution_record ordenado por fecha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Ver drift, drawdown y clustering de pérdidas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alpha_breakdown.png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PnL por alpha_name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Comparar robustez entre alfa 1 y alfa 2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bucket_calibration.csv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feature_snapshot + resolution_record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Medir si los buckets empíricos están bien calibrados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rejected_signals.csv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logs + feature_snapshot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Detectar pérdida de oportunidad por filtros demasiado estrictos</w:t>
            </w:r>
          </w:p>
        </w:tc>
      </w:tr>
    </w:tbl>
    <w:p/>
    <w:p>
      <w:pPr>
        <w:pStyle w:val="Heading1"/>
      </w:pPr>
      <w:r>
        <w:t>11. Testing y observabilidad</w:t>
      </w:r>
    </w:p>
    <w:p>
      <w:r>
        <w:t>Logs estructurados por módulo: ingest, parse, feature, signal, execution, settlement.</w:t>
      </w:r>
    </w:p>
    <w:p>
      <w:r>
        <w:t>Fixtures sintéticas para preguntas típicas: reach, dip, above, below, ranges.</w:t>
      </w:r>
    </w:p>
    <w:p>
      <w:r>
        <w:t>Pruebas de monotonicidad y de estabilidad del parser con slugs/preguntas variantes.</w:t>
      </w:r>
    </w:p>
    <w:p>
      <w:r>
        <w:t>Pruebas de coherencia temporal y de cálculo de edge_after_cost.</w:t>
      </w:r>
    </w:p>
    <w:p>
      <w:r>
        <w:t>Replay tests sobre snapshots guardados para verificar que la misma señal produce la misma decisión.</w:t>
      </w:r>
    </w:p>
    <w:p>
      <w:r>
        <w:t>Smoke tests de reconexión WS y degradación a REST fallback.</w:t>
      </w:r>
    </w:p>
    <w:p>
      <w:pPr>
        <w:pStyle w:val="Heading1"/>
      </w:pPr>
      <w:r>
        <w:t>12. Plan de MVP por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Fase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Entregable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Alpha cubierto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Dependencias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F1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Catálogo Gamma + parser + SQLite + Market WS cache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Base común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requests, websocket-client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F2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Score de incoherencias + paper broker + settlement + blotter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Alfa 1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sin nuevas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F3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RTDS capture + rolling sigma + buckets locales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Base alfa 2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sin nuevas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F4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Score de colas + calibration table + vistas comparativas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Alfa 2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matplotlib opcional</w:t>
            </w:r>
          </w:p>
        </w:tc>
      </w:tr>
    </w:tbl>
    <w:p/>
    <w:p>
      <w:pPr>
        <w:pStyle w:val="Heading1"/>
      </w:pPr>
      <w:r>
        <w:t>13. Decisiones no incluidas deliberadamente</w:t>
      </w:r>
    </w:p>
    <w:p>
      <w:r>
        <w:t>No se implementa cierre anticipado ni mark-to-market con finalidad operativa.</w:t>
      </w:r>
    </w:p>
    <w:p>
      <w:r>
        <w:t>No se usan oráculos externos, datos de opciones ni proveedores no oficiales.</w:t>
      </w:r>
    </w:p>
    <w:p>
      <w:r>
        <w:t>No se modela maker/rebate alpha ni posting de órdenes reales.</w:t>
      </w:r>
    </w:p>
    <w:p>
      <w:r>
        <w:t>No se introduce un framework web ni un dashboard pesado en el MVP.</w:t>
      </w:r>
    </w:p>
    <w:p>
      <w:r>
        <w:br w:type="page"/>
      </w:r>
    </w:p>
    <w:p>
      <w:pPr>
        <w:pStyle w:val="Heading1"/>
      </w:pPr>
      <w:r>
        <w:t>Apéndice A - Endpoints y eventos oficiales usados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Elemento oficial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Detalle técnico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b/>
                <w:color w:val="14385E"/>
                <w:sz w:val="17"/>
              </w:rPr>
              <w:t>Uso en diseño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Gamma /events y /markets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Discovery público sin autenticación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Bootstrap y refresco del universo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CLOB /book, /price, /midpoint, /spread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Lectura pública de orderbook y precios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Reference probability y coste de entrada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CLOB /prices-history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Histórico agregado por asset id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Replay, QA y series de probabilidad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CLOB /fee-rate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Fee base por token id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Coste all-in en paper broker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Market WS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book, price_change, tick_size_change, last_trade_price, best_bid_ask, market_resolved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Estado vivo y settlement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RTDS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crypto prices por WebSocket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Subyacente spot para alfa 2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Rate limits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Throttling por endpoint y ventanas deslizantes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20" w:line="252" w:lineRule="auto"/>
            </w:pPr>
            <w:r>
              <w:rPr>
                <w:rFonts w:ascii="Aptos" w:hAnsi="Aptos" w:eastAsia="Aptos"/>
                <w:sz w:val="17"/>
              </w:rPr>
              <w:t>WS-first y refresh controlado</w:t>
            </w:r>
          </w:p>
        </w:tc>
      </w:tr>
    </w:tbl>
    <w:p/>
    <w:p>
      <w:pPr>
        <w:pStyle w:val="Heading1"/>
      </w:pPr>
      <w:r>
        <w:t>Apéndice B - Referencias oficiales de diseño</w:t>
      </w:r>
    </w:p>
    <w:p>
      <w:r>
        <w:t>Market Data Overview - estructura de Event/Market y disponibilidad pública sin autenticación.</w:t>
      </w:r>
    </w:p>
    <w:p>
      <w:r>
        <w:t>Authentication - confirmación de que Gamma, Data API y CLOB read endpoints son públicos.</w:t>
      </w:r>
    </w:p>
    <w:p>
      <w:r>
        <w:t>WebSocket Overview - canales Market y RTDS.</w:t>
      </w:r>
    </w:p>
    <w:p>
      <w:r>
        <w:t>Market Channel - endpoint de suscripción y tipos de mensaje relevantes.</w:t>
      </w:r>
    </w:p>
    <w:p>
      <w:r>
        <w:t>Get prices history - backfill por market/asset id.</w:t>
      </w:r>
    </w:p>
    <w:p>
      <w:r>
        <w:t>Get fee rate - obtención del coste base por token id.</w:t>
      </w:r>
    </w:p>
    <w:p>
      <w:r>
        <w:t>Rate Limits - límites oficiales por API y necesidad de diseño WS-first.</w:t>
      </w:r>
    </w:p>
    <w:p>
      <w:r>
        <w:t>Clients &amp; SDKs - existencia del cliente oficial de Python, descartado del núcleo del MVP por minimización de dependencias.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>
      <w:t>Generado el 22/03/2026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>
      <w:t>LLD Python - Polymarket MVP (Alfa 1 y Alfa 2)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438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4385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438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438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basedOn w:val="Normal"/>
    <w:rPr>
      <w:rFonts w:ascii="Aptos" w:hAnsi="Aptos"/>
      <w:color w:val="56606E"/>
      <w:sz w:val="24"/>
    </w:rPr>
  </w:style>
  <w:style w:type="paragraph" w:customStyle="1" w:styleId="CodeBlock">
    <w:name w:val="CodeBlock"/>
    <w:basedOn w:val="Normal"/>
    <w:pPr>
      <w:spacing w:before="40" w:after="40" w:line="240" w:lineRule="auto"/>
      <w:ind w:left="227"/>
    </w:pPr>
    <w:rPr>
      <w:rFonts w:ascii="Consolas" w:hAnsi="Consolas" w:eastAsia="Consolas"/>
      <w:sz w:val="17"/>
    </w:rPr>
  </w:style>
  <w:style w:type="paragraph" w:customStyle="1" w:styleId="SmallText">
    <w:name w:val="SmallText"/>
    <w:basedOn w:val="Normal"/>
    <w:rPr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