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Aura Clinical — Healthcare Attorney Consultation Intake</w:t>
      </w:r>
    </w:p>
    <w:p>
      <w:r>
        <w:rPr>
          <w:b/>
        </w:rPr>
        <w:t>Date prepared:</w:t>
      </w:r>
      <w:r>
        <w:t xml:space="preserve"> 2026-05-25 </w:t>
      </w:r>
      <w:r>
        <w:rPr>
          <w:b/>
        </w:rPr>
        <w:t>Prepared by:</w:t>
      </w:r>
      <w:r>
        <w:t xml:space="preserve"> Kearney Adams Jr., founder, Aura Protocols LLC </w:t>
      </w:r>
      <w:r>
        <w:rPr>
          <w:b/>
        </w:rPr>
        <w:t>Purpose:</w:t>
      </w:r>
      <w:r>
        <w:t xml:space="preserve"> Maximize a 1–2 hour paid consult with a telehealth-specialized healthcare attorney. The goal of the engagement is a go/no-go signal on launching a peptide-focused telehealth business in a single US state, plus a concrete entity-structure recommendation.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About me</w:t>
      </w:r>
    </w:p>
    <w:p>
      <w:pPr>
        <w:pStyle w:val="ListBullet"/>
      </w:pPr>
      <w:r>
        <w:t>Solo non-technical founder. Full-time on this project.</w:t>
      </w:r>
    </w:p>
    <w:p>
      <w:pPr>
        <w:pStyle w:val="ListBullet"/>
      </w:pPr>
      <w:r>
        <w:t xml:space="preserve">Bootstrapped — total runway for legal, entity, insurance, and pre-launch infrastructure is approximately </w:t>
      </w:r>
      <w:r>
        <w:rPr>
          <w:b/>
        </w:rPr>
        <w:t>$8,000–20,000 over the next 4–6 months</w:t>
      </w:r>
      <w:r>
        <w:t>.</w:t>
      </w:r>
    </w:p>
    <w:p>
      <w:pPr>
        <w:pStyle w:val="ListBullet"/>
      </w:pPr>
      <w:r>
        <w:t xml:space="preserve">I already own and operate </w:t>
      </w:r>
      <w:r>
        <w:rPr>
          <w:rFonts w:ascii="Consolas" w:hAnsi="Consolas"/>
          <w:sz w:val="20"/>
        </w:rPr>
        <w:t>shop.auraprotocols.com</w:t>
      </w:r>
      <w:r>
        <w:t>, a Next.js affiliate site for research-grade peptides. It is currently pre-revenue. The site links to third-party vendors (Core Peptides, Limitless Life Nootropics, Swiss Chems, etc.) under "research use only" disclaimers and FTC affiliate disclosures. I do not handle product or take payment for product.</w:t>
      </w:r>
    </w:p>
    <w:p>
      <w:pPr>
        <w:pStyle w:val="ListBullet"/>
      </w:pPr>
      <w:r>
        <w:rPr>
          <w:b/>
        </w:rPr>
        <w:t>Aura Protocols LLC</w:t>
      </w:r>
      <w:r>
        <w:t xml:space="preserve"> is already formed (LegalZoom). It owns the affiliate site and will own the upcoming "Engine" biometric product (see §2.2). This is the entity I currently operate under.</w:t>
      </w:r>
    </w:p>
    <w:p>
      <w:pPr>
        <w:pStyle w:val="ListBullet"/>
      </w:pPr>
      <w:r>
        <w:t xml:space="preserve">I have </w:t>
      </w:r>
      <w:r>
        <w:rPr>
          <w:b/>
        </w:rPr>
        <w:t>not</w:t>
      </w:r>
      <w:r>
        <w:t xml:space="preserve"> yet formed any clinical/medical entity, signed any pharmacy or MD agreement, taken on any patient, or made any prescribed-medication claim. I am at the pre-formation stage of the clinical side and want legal direction before spending.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The business I am building</w:t>
      </w:r>
    </w:p>
    <w:p>
      <w:pPr>
        <w:pStyle w:val="Heading3"/>
      </w:pPr>
      <w:r>
        <w:t>2.1 The three layers</w:t>
      </w:r>
    </w:p>
    <w:p>
      <w:r>
        <w:t xml:space="preserve">I am building </w:t>
      </w:r>
      <w:r>
        <w:rPr>
          <w:b/>
        </w:rPr>
        <w:t>one combined company</w:t>
      </w:r>
      <w:r>
        <w:t xml:space="preserve"> with three customer-facing surfaces: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340"/>
            <w:vAlign w:val="top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2340"/>
            <w:vAlign w:val="top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vAlign w:val="top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Monetization</w:t>
            </w:r>
          </w:p>
        </w:tc>
      </w:tr>
      <w:tr>
        <w:tc>
          <w:tcPr>
            <w:tcW w:type="dxa" w:w="2340"/>
            <w:vAlign w:val="top"/>
          </w:tcPr>
          <w:p>
            <w:r/>
            <w:r>
              <w:rPr>
                <w:b/>
              </w:rPr>
              <w:t>Editorial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rFonts w:ascii="Consolas" w:hAnsi="Consolas"/>
                <w:sz w:val="20"/>
              </w:rPr>
              <w:t>auraprotocols.com</w:t>
            </w:r>
            <w:r>
              <w:t xml:space="preserve"> (planned: collapse </w:t>
            </w:r>
            <w:r>
              <w:rPr>
                <w:rFonts w:ascii="Consolas" w:hAnsi="Consolas"/>
                <w:sz w:val="20"/>
              </w:rPr>
              <w:t>shop.auraprotocols.com</w:t>
            </w:r>
            <w:r>
              <w:t xml:space="preserve"> into apex)</w:t>
            </w:r>
          </w:p>
        </w:tc>
        <w:tc>
          <w:tcPr>
            <w:tcW w:type="dxa" w:w="2340"/>
            <w:vAlign w:val="top"/>
          </w:tcPr>
          <w:p>
            <w:r/>
            <w:r>
              <w:t>SEO/education entry point. Reviews, comparisons, peptide dosing guides.</w:t>
            </w:r>
          </w:p>
        </w:tc>
        <w:tc>
          <w:tcPr>
            <w:tcW w:type="dxa" w:w="2340"/>
            <w:vAlign w:val="top"/>
          </w:tcPr>
          <w:p>
            <w:r/>
            <w:r>
              <w:t>Affiliate commissions on research-grade vendor links (third-party).</w:t>
            </w:r>
          </w:p>
        </w:tc>
      </w:tr>
      <w:tr>
        <w:tc>
          <w:tcPr>
            <w:tcW w:type="dxa" w:w="2340"/>
            <w:vAlign w:val="top"/>
          </w:tcPr>
          <w:p>
            <w:r/>
            <w:r>
              <w:rPr>
                <w:b/>
              </w:rPr>
              <w:t>Engine</w:t>
            </w:r>
          </w:p>
        </w:tc>
        <w:tc>
          <w:tcPr>
            <w:tcW w:type="dxa" w:w="2340"/>
            <w:vAlign w:val="top"/>
          </w:tcPr>
          <w:p>
            <w:r/>
            <w:r>
              <w:t>Same site as Editorial, dynamic routes (</w:t>
            </w:r>
            <w:r>
              <w:rPr>
                <w:rFonts w:ascii="Consolas" w:hAnsi="Consolas"/>
                <w:sz w:val="20"/>
              </w:rPr>
              <w:t>/connect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/recommend</w:t>
            </w:r>
            <w:r>
              <w:t>).</w:t>
            </w:r>
          </w:p>
        </w:tc>
        <w:tc>
          <w:tcPr>
            <w:tcW w:type="dxa" w:w="2340"/>
            <w:vAlign w:val="top"/>
          </w:tcPr>
          <w:p>
            <w:r/>
            <w:r>
              <w:t>Free biometric-driven peptide protocol recommender. User connects Whoop/Oura/Apple Health via Terra API aggregator; we return a personalized protocol suggestion.</w:t>
            </w:r>
          </w:p>
        </w:tc>
        <w:tc>
          <w:tcPr>
            <w:tcW w:type="dxa" w:w="2340"/>
            <w:vAlign w:val="top"/>
          </w:tcPr>
          <w:p>
            <w:r/>
            <w:r>
              <w:t>None directly — converts qualified leads downstream.</w:t>
            </w:r>
          </w:p>
        </w:tc>
      </w:tr>
      <w:tr>
        <w:tc>
          <w:tcPr>
            <w:tcW w:type="dxa" w:w="2340"/>
            <w:vAlign w:val="top"/>
          </w:tcPr>
          <w:p>
            <w:r/>
            <w:r>
              <w:rPr>
                <w:b/>
              </w:rPr>
              <w:t>Clinical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rFonts w:ascii="Consolas" w:hAnsi="Consolas"/>
                <w:sz w:val="20"/>
              </w:rPr>
              <w:t>auraclinical.com</w:t>
            </w:r>
            <w:r>
              <w:t xml:space="preserve"> (or similar TBD) — </w:t>
            </w:r>
            <w:r>
              <w:rPr>
                <w:b/>
              </w:rPr>
              <w:t>separate brand, separate LLC, separate domain, separate payment processor, separate analytics</w:t>
            </w:r>
          </w:p>
        </w:tc>
        <w:tc>
          <w:tcPr>
            <w:tcW w:type="dxa" w:w="2340"/>
            <w:vAlign w:val="top"/>
          </w:tcPr>
          <w:p>
            <w:r/>
            <w:r>
              <w:t>Vertical telehealth. Patient intake → licensed MD review → prescribed compounded peptides → recurring subscription.</w:t>
            </w:r>
          </w:p>
        </w:tc>
        <w:tc>
          <w:tcPr>
            <w:tcW w:type="dxa" w:w="2340"/>
            <w:vAlign w:val="top"/>
          </w:tcPr>
          <w:p>
            <w:r/>
            <w:r>
              <w:t xml:space="preserve">$250–500/mo subscription per patient. </w:t>
            </w:r>
            <w:r>
              <w:rPr>
                <w:b/>
              </w:rPr>
              <w:t>This is the primary revenue driver.</w:t>
            </w:r>
          </w:p>
        </w:tc>
      </w:tr>
    </w:tbl>
    <w:p/>
    <w:p>
      <w:pPr>
        <w:pStyle w:val="Heading3"/>
      </w:pPr>
      <w:r>
        <w:t>2.2 Funnel logic</w:t>
      </w:r>
    </w:p>
    <w:p>
      <w:pPr>
        <w:pStyle w:val="ListNumber"/>
      </w:pPr>
      <w:r>
        <w:t>User finds Editorial via SEO (searches for peptide info, dosing, vendor comparisons).</w:t>
      </w:r>
    </w:p>
    <w:p>
      <w:pPr>
        <w:pStyle w:val="ListNumber"/>
      </w:pPr>
      <w:r>
        <w:t>CTAs route them to the Engine to "get a personalized protocol."</w:t>
      </w:r>
    </w:p>
    <w:p>
      <w:pPr>
        <w:pStyle w:val="ListNumber"/>
      </w:pPr>
      <w:r>
        <w:t>Engine outputs a recommendation. Every recommendation surface shows two CTAs:</w:t>
      </w:r>
    </w:p>
    <w:p>
      <w:pPr>
        <w:pStyle w:val="ListBullet2"/>
      </w:pPr>
      <w:r>
        <w:rPr>
          <w:b/>
        </w:rPr>
        <w:t>"Get this prescribed at Aura Clinical →"</w:t>
      </w:r>
      <w:r>
        <w:t xml:space="preserve"> (primary — routes to the Clinical brand)</w:t>
      </w:r>
    </w:p>
    <w:p>
      <w:pPr>
        <w:pStyle w:val="ListBullet2"/>
      </w:pPr>
      <w:r>
        <w:rPr>
          <w:b/>
        </w:rPr>
        <w:t>"Buy research-grade vials →"</w:t>
      </w:r>
      <w:r>
        <w:t xml:space="preserve"> (secondary — third-party affiliate links, "research use only" disclaimers)</w:t>
      </w:r>
    </w:p>
    <w:p>
      <w:pPr>
        <w:pStyle w:val="ListNumber"/>
      </w:pPr>
      <w:r>
        <w:t>Clinical path: async intake form (pre-populated with Engine output), state-licensed MD reviews, compounding pharmacy ships, recurring monthly subscription.</w:t>
      </w:r>
    </w:p>
    <w:p>
      <w:pPr>
        <w:pStyle w:val="Heading3"/>
      </w:pPr>
      <w:r>
        <w:t>2.3 Intended formulary at Clinical launch</w:t>
      </w:r>
    </w:p>
    <w:p>
      <w:r>
        <w:t xml:space="preserve">I am aware that the FDA enforcement posture toward compounded peptides has tightened materially in 2024–2025 (CJC-1295 Cat 2 listing, semaglutide shortage exemption sunset, increased 503A inspections). I want the attorney's read on what is </w:t>
      </w:r>
      <w:r>
        <w:rPr>
          <w:b/>
        </w:rPr>
        <w:t>realistically prescribable and compoundable today</w:t>
      </w:r>
      <w:r>
        <w:t xml:space="preserve"> in our launch state from the following candidate list:</w:t>
      </w:r>
    </w:p>
    <w:p>
      <w:pPr>
        <w:pStyle w:val="ListBullet"/>
      </w:pPr>
      <w:r>
        <w:t>Sermorelin (GH-releasing)</w:t>
      </w:r>
    </w:p>
    <w:p>
      <w:pPr>
        <w:pStyle w:val="ListBullet"/>
      </w:pPr>
      <w:r>
        <w:t>Compounded semaglutide / tirzepatide (where still allowed)</w:t>
      </w:r>
    </w:p>
    <w:p>
      <w:pPr>
        <w:pStyle w:val="ListBullet"/>
      </w:pPr>
      <w:r>
        <w:t>NAD+ injections</w:t>
      </w:r>
    </w:p>
    <w:p>
      <w:pPr>
        <w:pStyle w:val="ListBullet"/>
      </w:pPr>
      <w:r>
        <w:t>Testosterone (HRT)</w:t>
      </w:r>
    </w:p>
    <w:p>
      <w:pPr>
        <w:pStyle w:val="ListBullet"/>
      </w:pPr>
      <w:r>
        <w:t>Oxytocin</w:t>
      </w:r>
    </w:p>
    <w:p>
      <w:pPr>
        <w:pStyle w:val="ListBullet"/>
      </w:pPr>
      <w:r>
        <w:t>Sildenafil / tadalafil (compounded oral troches)</w:t>
      </w:r>
    </w:p>
    <w:p>
      <w:pPr>
        <w:pStyle w:val="ListBullet"/>
      </w:pPr>
      <w:r>
        <w:t xml:space="preserve">BPC-157, TB-500, CJC-1295, Ipamorelin — I understand these are likely </w:t>
      </w:r>
      <w:r>
        <w:rPr>
          <w:b/>
        </w:rPr>
        <w:t>not</w:t>
      </w:r>
      <w:r>
        <w:t xml:space="preserve"> safely prescribable through a 503A pharmacy partnership in today's environment, but want the attorney's confirmation and any nuance per state.</w:t>
      </w:r>
    </w:p>
    <w:p>
      <w:pPr>
        <w:pStyle w:val="Heading3"/>
      </w:pPr>
      <w:r>
        <w:t>2.4 Launch posture</w:t>
      </w:r>
    </w:p>
    <w:p>
      <w:pPr>
        <w:pStyle w:val="ListBullet"/>
      </w:pPr>
      <w:r>
        <w:rPr>
          <w:b/>
        </w:rPr>
        <w:t>Single launch state:</w:t>
      </w:r>
      <w:r>
        <w:t xml:space="preserve"> considering Florida, Texas, or Arizona. Open to attorney's recommendation based on telehealth practice acts, corporate practice of medicine rules, formulary tolerance, and patient demand density.</w:t>
      </w:r>
    </w:p>
    <w:p>
      <w:pPr>
        <w:pStyle w:val="ListBullet"/>
      </w:pPr>
      <w:r>
        <w:rPr>
          <w:b/>
        </w:rPr>
        <w:t>Async-first</w:t>
      </w:r>
      <w:r>
        <w:t xml:space="preserve"> (questionnaire + asynchronous physician review), with synchronous video on request or when state law requires.</w:t>
      </w:r>
    </w:p>
    <w:p>
      <w:pPr>
        <w:pStyle w:val="ListBullet"/>
      </w:pPr>
      <w:r>
        <w:rPr>
          <w:b/>
        </w:rPr>
        <w:t>Subscription billing</w:t>
      </w:r>
      <w:r>
        <w:t xml:space="preserve"> via Stripe (telehealth-legal use case, distinct from the affiliate side).</w:t>
      </w:r>
    </w:p>
    <w:p>
      <w:pPr>
        <w:pStyle w:val="ListBullet"/>
      </w:pPr>
      <w:r>
        <w:rPr>
          <w:b/>
        </w:rPr>
        <w:t>Vendor-platform UI</w:t>
      </w:r>
      <w:r>
        <w:t xml:space="preserve"> (Healthie, Spruce Health, or similar) rather than custom EHR. Will brand the platform.</w:t>
      </w:r>
    </w:p>
    <w:p>
      <w:pPr>
        <w:pStyle w:val="ListBullet"/>
      </w:pPr>
      <w:r>
        <w:rPr>
          <w:b/>
        </w:rPr>
        <w:t>MD network</w:t>
      </w:r>
      <w:r>
        <w:t xml:space="preserve"> via Wheel, SteadyMD, OpenLoop, or similar — or direct contract with a single licensed MD in the launch state.</w:t>
      </w:r>
    </w:p>
    <w:p>
      <w:pPr>
        <w:pStyle w:val="ListBullet"/>
      </w:pPr>
      <w:r>
        <w:rPr>
          <w:b/>
        </w:rPr>
        <w:t>Compounding pharmacy partner</w:t>
      </w:r>
      <w:r>
        <w:t xml:space="preserve"> TBD — discovery calls planned with Empower (TX), Olympia (FL), Tailor Made (KY).</w:t>
      </w:r>
    </w:p>
    <w:p>
      <w:pPr>
        <w:pStyle w:val="Heading3"/>
      </w:pPr>
      <w:r>
        <w:t>2.5 The relationship between Aura Protocols LLC (affiliate + Engine) and Aura Clinical (telehealth)</w:t>
      </w:r>
    </w:p>
    <w:p>
      <w:pPr>
        <w:pStyle w:val="ListBullet"/>
      </w:pPr>
      <w:r>
        <w:t xml:space="preserve">I intend to keep these as </w:t>
      </w:r>
      <w:r>
        <w:rPr>
          <w:b/>
        </w:rPr>
        <w:t>two separate LLCs</w:t>
      </w:r>
      <w:r>
        <w:t>.</w:t>
      </w:r>
    </w:p>
    <w:p>
      <w:pPr>
        <w:pStyle w:val="ListBullet"/>
      </w:pPr>
      <w:r>
        <w:t>The Editorial/Engine side links users to the Clinical brand via clear "get this prescribed at our sister brand" handoffs, similar to how Hims/Hers operate their content properties.</w:t>
      </w:r>
    </w:p>
    <w:p>
      <w:pPr>
        <w:pStyle w:val="ListBullet"/>
      </w:pPr>
      <w:r>
        <w:t>I do not want a category-level adverse event on either side to be able to take down the other.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Questions for the attorney</w:t>
      </w:r>
    </w:p>
    <w:p>
      <w:pPr>
        <w:pStyle w:val="Heading3"/>
      </w:pPr>
      <w:r>
        <w:t>3.1 Entity structure &amp; corporate practice of medicine</w:t>
      </w:r>
    </w:p>
    <w:p>
      <w:pPr>
        <w:pStyle w:val="ListNumber"/>
      </w:pPr>
      <w:r>
        <w:t>In our recommended launch state (FL / TX / AZ), what is the correct legal structure?</w:t>
      </w:r>
    </w:p>
    <w:p>
      <w:pPr>
        <w:pStyle w:val="ListBullet2"/>
      </w:pPr>
      <w:r>
        <w:t>Single LLC?</w:t>
      </w:r>
    </w:p>
    <w:p>
      <w:pPr>
        <w:pStyle w:val="ListBullet2"/>
      </w:pPr>
      <w:r>
        <w:t>LLC + Professional Corporation (PC) with a Management Services Organization (MSO) agreement?</w:t>
      </w:r>
    </w:p>
    <w:p>
      <w:pPr>
        <w:pStyle w:val="ListBullet2"/>
      </w:pPr>
      <w:r>
        <w:t>Other?</w:t>
      </w:r>
    </w:p>
    <w:p>
      <w:pPr>
        <w:pStyle w:val="ListNumber"/>
      </w:pPr>
      <w:r>
        <w:t>Who must own the PC (if required)? Must it be a licensed physician in the same state? What is the standard MSO arrangement that lets a non-licensed founder operate the business side legally?</w:t>
      </w:r>
    </w:p>
    <w:p>
      <w:pPr>
        <w:pStyle w:val="ListNumber"/>
      </w:pPr>
      <w:r>
        <w:t>What is the realistic all-in cost for entity formation, operating agreements, MSO agreement, and registered agents?</w:t>
      </w:r>
    </w:p>
    <w:p>
      <w:pPr>
        <w:pStyle w:val="ListNumber"/>
      </w:pPr>
      <w:r>
        <w:t>Are there states where the corporate practice of medicine doctrine is loose enough that a regular LLC works, and would you recommend any of those over the three I've named?</w:t>
      </w:r>
    </w:p>
    <w:p>
      <w:pPr>
        <w:pStyle w:val="Heading3"/>
      </w:pPr>
      <w:r>
        <w:t>3.2 Telehealth practice act — launch state</w:t>
      </w:r>
    </w:p>
    <w:p>
      <w:pPr>
        <w:pStyle w:val="ListNumber"/>
      </w:pPr>
      <w:r>
        <w:t xml:space="preserve">Does the launch state allow </w:t>
      </w:r>
      <w:r>
        <w:rPr>
          <w:b/>
        </w:rPr>
        <w:t>async-only</w:t>
      </w:r>
      <w:r>
        <w:t xml:space="preserve"> patient-physician relationship establishment, or is initial synchronous (video) contact required?</w:t>
      </w:r>
    </w:p>
    <w:p>
      <w:pPr>
        <w:pStyle w:val="ListNumber"/>
      </w:pPr>
      <w:r>
        <w:t>Is there an in-state physical address / "physician establishment" requirement?</w:t>
      </w:r>
    </w:p>
    <w:p>
      <w:pPr>
        <w:pStyle w:val="ListNumber"/>
      </w:pPr>
      <w:r>
        <w:t>What are the minimum documentation, identity-verification, and informed-consent requirements?</w:t>
      </w:r>
    </w:p>
    <w:p>
      <w:pPr>
        <w:pStyle w:val="ListNumber"/>
      </w:pPr>
      <w:r>
        <w:t>Any state-specific advertising or disclosure rules I need to know about (e.g., Florida required disclaimers)?</w:t>
      </w:r>
    </w:p>
    <w:p>
      <w:pPr>
        <w:pStyle w:val="Heading3"/>
      </w:pPr>
      <w:r>
        <w:t>3.3 Formulary and FDA enforcement reality</w:t>
      </w:r>
    </w:p>
    <w:p>
      <w:pPr>
        <w:pStyle w:val="ListNumber"/>
      </w:pPr>
      <w:r>
        <w:t>Given the current FDA enforcement posture, which of the candidate substances in §2.3 are realistically prescribable through a 503A compounding pharmacy in our launch state, today?</w:t>
      </w:r>
    </w:p>
    <w:p>
      <w:pPr>
        <w:pStyle w:val="ListNumber"/>
      </w:pPr>
      <w:r>
        <w:t>What is your read on the BPC-157 / TB-500 / CJC-1295 / Ipamorelin path — is there any compliant route, or should I treat these as not available regardless of demand?</w:t>
      </w:r>
    </w:p>
    <w:p>
      <w:pPr>
        <w:pStyle w:val="ListNumber"/>
      </w:pPr>
      <w:r>
        <w:t>What is the current status of compounded semaglutide / tirzepatide for non-shortage prescribing, and how does that interact with state pharmacy board rules?</w:t>
      </w:r>
    </w:p>
    <w:p>
      <w:pPr>
        <w:pStyle w:val="ListNumber"/>
      </w:pPr>
      <w:r>
        <w:t>Are there compounded-peptide categories I'm not considering that you've seen work well for similar telehealth startups (e.g., specific GLP-1 analogs, growth factor blends, sermorelin combinations)?</w:t>
      </w:r>
    </w:p>
    <w:p>
      <w:pPr>
        <w:pStyle w:val="Heading3"/>
      </w:pPr>
      <w:r>
        <w:t>3.4 MD network and physician relationship</w:t>
      </w:r>
    </w:p>
    <w:p>
      <w:pPr>
        <w:pStyle w:val="ListNumber"/>
      </w:pPr>
      <w:r>
        <w:t>We are deciding between (a) contracting a single licensed MD in the launch state, vs (b) using a telehealth MD network platform (Wheel, SteadyMD, OpenLoop). What are the legal differences, particularly around anti-kickback statutes, fee-splitting prohibitions, and the patient-physician relationship?</w:t>
      </w:r>
    </w:p>
    <w:p>
      <w:pPr>
        <w:pStyle w:val="ListNumber"/>
      </w:pPr>
      <w:r>
        <w:t>If we use a network platform, do we need a separate Medical Director relationship with a single state-licensed MD anyway?</w:t>
      </w:r>
    </w:p>
    <w:p>
      <w:pPr>
        <w:pStyle w:val="ListNumber"/>
      </w:pPr>
      <w:r>
        <w:t>What is the typical compensation structure — per-consult fee, salary, equity — that does not violate fee-splitting rules?</w:t>
      </w:r>
    </w:p>
    <w:p>
      <w:pPr>
        <w:pStyle w:val="ListNumber"/>
      </w:pPr>
      <w:r>
        <w:t>What liability flows back to me / the LLC vs. stays with the prescribing MD?</w:t>
      </w:r>
    </w:p>
    <w:p>
      <w:pPr>
        <w:pStyle w:val="Heading3"/>
      </w:pPr>
      <w:r>
        <w:t>3.5 Pharmacy partnership</w:t>
      </w:r>
    </w:p>
    <w:p>
      <w:pPr>
        <w:pStyle w:val="ListNumber"/>
      </w:pPr>
      <w:r>
        <w:t>What contractual terms should I require from a 503A compounding pharmacy partner to insulate Aura Clinical from a pharmacy-side regulatory action?</w:t>
      </w:r>
    </w:p>
    <w:p>
      <w:pPr>
        <w:pStyle w:val="ListNumber"/>
      </w:pPr>
      <w:r>
        <w:t>Are there pharmacy-side red flags I should screen for (recent FDA warning letters, state board actions, formulary restrictions, ownership structure)?</w:t>
      </w:r>
    </w:p>
    <w:p>
      <w:pPr>
        <w:pStyle w:val="ListNumber"/>
      </w:pPr>
      <w:r>
        <w:t>Is the "pharmacy ships direct to patient" model legally cleaner than "pharmacy ships to clinic, clinic re-ships"?</w:t>
      </w:r>
    </w:p>
    <w:p>
      <w:pPr>
        <w:pStyle w:val="Heading3"/>
      </w:pPr>
      <w:r>
        <w:t>3.6 Patient relationship establishment &amp; ongoing care</w:t>
      </w:r>
    </w:p>
    <w:p>
      <w:pPr>
        <w:pStyle w:val="ListNumber"/>
      </w:pPr>
      <w:r>
        <w:t>What does a defensible initial-consult workflow look like for an async-first telehealth (questionnaire content, supporting documents required, MD review documentation)?</w:t>
      </w:r>
    </w:p>
    <w:p>
      <w:pPr>
        <w:pStyle w:val="ListNumber"/>
      </w:pPr>
      <w:r>
        <w:t>What follow-up cadence is legally adequate — quarterly check-ins, annual labs, asynchronous messaging only?</w:t>
      </w:r>
    </w:p>
    <w:p>
      <w:pPr>
        <w:pStyle w:val="ListNumber"/>
      </w:pPr>
      <w:r>
        <w:t>What records-retention obligations apply, and how should the EHR platform support them?</w:t>
      </w:r>
    </w:p>
    <w:p>
      <w:pPr>
        <w:pStyle w:val="Heading3"/>
      </w:pPr>
      <w:r>
        <w:t>3.7 Marketing, advertising &amp; FTC/FDA claims</w:t>
      </w:r>
    </w:p>
    <w:p>
      <w:pPr>
        <w:pStyle w:val="ListNumber"/>
      </w:pPr>
      <w:r>
        <w:t>Given the affiliate side (Aura Protocols LLC) uses content like "best peptides for weight loss" and "vendor X vs vendor Y" comparisons, can the Editorial site link to Aura Clinical CTAs without creating a conflict of interest disclosure problem or an off-label promotion issue?</w:t>
      </w:r>
    </w:p>
    <w:p>
      <w:pPr>
        <w:pStyle w:val="ListNumber"/>
      </w:pPr>
      <w:r>
        <w:t>What efficacy, performance, or anti-aging claims can Aura Clinical make in its own marketing without triggering FTC or FDA action?</w:t>
      </w:r>
    </w:p>
    <w:p>
      <w:pPr>
        <w:pStyle w:val="ListNumber"/>
      </w:pPr>
      <w:r>
        <w:t xml:space="preserve">What disclaimers must appear on the Engine output (which is a biometric-driven </w:t>
      </w:r>
      <w:r>
        <w:rPr>
          <w:i/>
        </w:rPr>
        <w:t>suggestion</w:t>
      </w:r>
      <w:r>
        <w:t xml:space="preserve"> engine, not a diagnosis) and on Clinical marketing pages?</w:t>
      </w:r>
    </w:p>
    <w:p>
      <w:pPr>
        <w:pStyle w:val="ListNumber"/>
      </w:pPr>
      <w:r>
        <w:t>Can the Engine output legally pre-populate intake forms used by the prescribing MD? Does that create a legal-practice-of-medicine question for the software?</w:t>
      </w:r>
    </w:p>
    <w:p>
      <w:pPr>
        <w:pStyle w:val="Heading3"/>
      </w:pPr>
      <w:r>
        <w:t>3.8 Data, HIPAA, and the Engine/Clinical boundary</w:t>
      </w:r>
    </w:p>
    <w:p>
      <w:pPr>
        <w:pStyle w:val="ListNumber"/>
      </w:pPr>
      <w:r>
        <w:t xml:space="preserve">The Engine collects wearable fitness data (HRV, sleep, recovery, steps). It does </w:t>
      </w:r>
      <w:r>
        <w:rPr>
          <w:b/>
        </w:rPr>
        <w:t>not</w:t>
      </w:r>
      <w:r>
        <w:t xml:space="preserve"> collect medical history or diagnoses. </w:t>
      </w:r>
      <w:r>
        <w:rPr>
          <w:b/>
        </w:rPr>
        <w:t>Is this PHI or fitness data,</w:t>
      </w:r>
      <w:r>
        <w:t xml:space="preserve"> and does HIPAA apply to the Engine side, the Clinical side, or both?</w:t>
      </w:r>
    </w:p>
    <w:p>
      <w:pPr>
        <w:pStyle w:val="ListNumber"/>
      </w:pPr>
      <w:r>
        <w:t>When a user clicks "get this prescribed" and the Engine output is handed off to the Clinical intake, at what point does the data become PHI and trigger HIPAA?</w:t>
      </w:r>
    </w:p>
    <w:p>
      <w:pPr>
        <w:pStyle w:val="ListNumber"/>
      </w:pPr>
      <w:r>
        <w:t>Recommended technical and legal controls at that boundary (BAAs with which vendors, what to log vs not log, breach notification readiness)?</w:t>
      </w:r>
    </w:p>
    <w:p>
      <w:pPr>
        <w:pStyle w:val="ListNumber"/>
      </w:pPr>
      <w:r>
        <w:t>We will not use Meta Pixel or untreated GA on Clinical pages. Anything else we must positively exclude?</w:t>
      </w:r>
    </w:p>
    <w:p>
      <w:pPr>
        <w:pStyle w:val="Heading3"/>
      </w:pPr>
      <w:r>
        <w:t>3.9 Affiliate site / Clinical brand separation</w:t>
      </w:r>
    </w:p>
    <w:p>
      <w:pPr>
        <w:pStyle w:val="ListNumber"/>
      </w:pPr>
      <w:r>
        <w:t>Same founder, same employees (just me), separate LLCs, separate brands, linked via "sister brand" CTAs. Is that enough legal separation to prevent a regulatory action against one from reaching the other?</w:t>
      </w:r>
    </w:p>
    <w:p>
      <w:pPr>
        <w:pStyle w:val="ListNumber"/>
      </w:pPr>
      <w:r>
        <w:t>Should there be an arms-length agreement between Aura Protocols LLC and Aura Clinical LLC governing the lead-handoff and any compensation between them?</w:t>
      </w:r>
    </w:p>
    <w:p>
      <w:pPr>
        <w:pStyle w:val="ListNumber"/>
      </w:pPr>
      <w:r>
        <w:t>Anti-kickback risk: if Aura Protocols LLC drives leads to Aura Clinical, and Clinical pays Aura Protocols a per-lead fee or revenue share, does that violate any federal or state anti-kickback / patient-brokering laws?</w:t>
      </w:r>
    </w:p>
    <w:p>
      <w:pPr>
        <w:pStyle w:val="Heading3"/>
      </w:pPr>
      <w:r>
        <w:t>3.10 Insurance</w:t>
      </w:r>
    </w:p>
    <w:p>
      <w:pPr>
        <w:pStyle w:val="ListNumber"/>
      </w:pPr>
      <w:r>
        <w:t>What insurance coverage is non-negotiable at launch (entity malpractice, general liability, cyber/HIPAA breach, D&amp;O)?</w:t>
      </w:r>
    </w:p>
    <w:p>
      <w:pPr>
        <w:pStyle w:val="ListNumber"/>
      </w:pPr>
      <w:r>
        <w:t>Recommended brokers or carriers for a single-state telehealth at this scale?</w:t>
      </w:r>
    </w:p>
    <w:p>
      <w:pPr>
        <w:pStyle w:val="ListNumber"/>
      </w:pPr>
      <w:r>
        <w:t>Approximate cost ranges for the policies above?</w:t>
      </w:r>
    </w:p>
    <w:p>
      <w:pPr>
        <w:pStyle w:val="Heading3"/>
      </w:pPr>
      <w:r>
        <w:t>3.11 Multi-state expansion</w:t>
      </w:r>
    </w:p>
    <w:p>
      <w:pPr>
        <w:pStyle w:val="ListNumber"/>
      </w:pPr>
      <w:r>
        <w:t>What is the right legal pattern to expand from one launch state to multi-state — same LLC + new state foreign registrations, or new PC per state?</w:t>
      </w:r>
    </w:p>
    <w:p>
      <w:pPr>
        <w:pStyle w:val="ListNumber"/>
      </w:pPr>
      <w:r>
        <w:t>What are the high-cost / high-friction states I should defer indefinitely?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What I want to walk out of the consult with</w:t>
      </w:r>
    </w:p>
    <w:p>
      <w:r>
        <w:t>A clear, written recommendation on:</w:t>
      </w:r>
    </w:p>
    <w:p>
      <w:pPr>
        <w:pStyle w:val="ListNumber"/>
      </w:pPr>
      <w:r>
        <w:rPr>
          <w:b/>
        </w:rPr>
        <w:t>Entity structure</w:t>
      </w:r>
      <w:r>
        <w:t xml:space="preserve"> for the launch state (LLC, LLC+PC+MSO, or other), with estimated total formation cost.</w:t>
      </w:r>
    </w:p>
    <w:p>
      <w:pPr>
        <w:pStyle w:val="ListNumber"/>
      </w:pPr>
      <w:r>
        <w:rPr>
          <w:b/>
        </w:rPr>
        <w:t>Go/no-go on the candidate launch states</w:t>
      </w:r>
      <w:r>
        <w:t xml:space="preserve"> (FL, TX, AZ — or attorney-recommended alternative).</w:t>
      </w:r>
    </w:p>
    <w:p>
      <w:pPr>
        <w:pStyle w:val="ListNumber"/>
      </w:pPr>
      <w:r>
        <w:rPr>
          <w:b/>
        </w:rPr>
        <w:t>Realistic launch formulary</w:t>
      </w:r>
      <w:r>
        <w:t xml:space="preserve"> given current FDA/state pharmacy board enforcement.</w:t>
      </w:r>
    </w:p>
    <w:p>
      <w:pPr>
        <w:pStyle w:val="ListNumber"/>
      </w:pPr>
      <w:r>
        <w:rPr>
          <w:b/>
        </w:rPr>
        <w:t>MD network model</w:t>
      </w:r>
      <w:r>
        <w:t xml:space="preserve"> (platform vs direct hire) given anti-kickback and fee-splitting rules.</w:t>
      </w:r>
    </w:p>
    <w:p>
      <w:pPr>
        <w:pStyle w:val="ListNumber"/>
      </w:pPr>
      <w:r>
        <w:rPr>
          <w:b/>
        </w:rPr>
        <w:t>Affiliate-to-Clinical lead handoff structure</w:t>
      </w:r>
      <w:r>
        <w:t xml:space="preserve"> that does not trigger anti-kickback / patient-brokering exposure.</w:t>
      </w:r>
    </w:p>
    <w:p>
      <w:pPr>
        <w:pStyle w:val="ListNumber"/>
      </w:pPr>
      <w:r>
        <w:rPr>
          <w:b/>
        </w:rPr>
        <w:t>List of next legal deliverables</w:t>
      </w:r>
      <w:r>
        <w:t xml:space="preserve"> (operating agreements, BAAs, patient consent forms, marketing disclaimers) and rough cost to produce them.</w:t>
      </w:r>
    </w:p>
    <w:p>
      <w:pPr>
        <w:pStyle w:val="ListNumber"/>
      </w:pPr>
      <w:r>
        <w:rPr>
          <w:b/>
        </w:rPr>
        <w:t>Any deal-breaker</w:t>
      </w:r>
      <w:r>
        <w:t xml:space="preserve"> I should know now before spending another dollar.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Out of scope for this consult</w:t>
      </w:r>
    </w:p>
    <w:p>
      <w:pPr>
        <w:pStyle w:val="ListBullet"/>
      </w:pPr>
      <w:r>
        <w:t>IP / trademark strategy (separate matter, lower priority).</w:t>
      </w:r>
    </w:p>
    <w:p>
      <w:pPr>
        <w:pStyle w:val="ListBullet"/>
      </w:pPr>
      <w:r>
        <w:t>Employment law (no employees planned at launch).</w:t>
      </w:r>
    </w:p>
    <w:p>
      <w:pPr>
        <w:pStyle w:val="ListBullet"/>
      </w:pPr>
      <w:r>
        <w:t>Tax structure (will engage a CPA separately).</w:t>
      </w:r>
    </w:p>
    <w:p>
      <w:pPr>
        <w:pStyle w:val="ListBullet"/>
      </w:pPr>
      <w:r>
        <w:t>Detailed contract drafting (this consult is strategy + structure; drafting is a follow-on engagement).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5A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