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Afrishop ��� Besoins fonctionnels, besoins op��rationnels et mod��lisation</w:t>
      </w:r>
    </w:p>
    <w:bookmarkStart w:id="62" w:name="Xe5e50e0def366ebf2dc729afb6994c03cf1fc15"/>
    <w:p>
      <w:pPr>
        <w:pStyle w:val="Heading1"/>
      </w:pPr>
      <w:r>
        <w:t xml:space="preserve">Afrishop — Besoins fonctionnels, besoins opérationnels et modélisation</w:t>
      </w:r>
    </w:p>
    <w:p>
      <w:pPr>
        <w:pStyle w:val="FirstParagraph"/>
      </w:pPr>
      <w:r>
        <w:rPr>
          <w:bCs/>
          <w:b/>
        </w:rPr>
        <w:t xml:space="preserve">Version 2.5 · Août 2026</w:t>
      </w:r>
    </w:p>
    <w:p>
      <w:pPr>
        <w:pStyle w:val="BodyText"/>
      </w:pPr>
      <w:r>
        <w:t xml:space="preserve">Place de marché multi-vendeurs pour l’Afrique de l’Ouest, ouverte aux clients internationaux.</w:t>
      </w:r>
      <w:r>
        <w:t xml:space="preserve"> </w:t>
      </w:r>
      <w:r>
        <w:t xml:space="preserve">Produits, services et prestations. Paiement Mobile Money, espèces, carte et vente au comptoir.</w:t>
      </w:r>
    </w:p>
    <w:p>
      <w:pPr>
        <w:pStyle w:val="BodyText"/>
      </w:pPr>
      <w:r>
        <w:t xml:space="preserve">Ce dossier remplace et complète les notes de conception antérieures. Il décrit ce que le système</w:t>
      </w:r>
      <w:r>
        <w:t xml:space="preserve"> </w:t>
      </w:r>
      <w:r>
        <w:t xml:space="preserve">doit faire (§ 2), ce qu’il doit supporter en exploitation (§ 3), et comment il est modélisé (§ 4).</w:t>
      </w:r>
      <w:r>
        <w:t xml:space="preserve"> </w:t>
      </w:r>
      <w:r>
        <w:t xml:space="preserve">Le § 5 recense ce qui reste à décider et ce qui doit être instruit par un professionnel.</w:t>
      </w:r>
    </w:p>
    <w:p>
      <w:pPr>
        <w:pStyle w:val="BodyText"/>
      </w:pPr>
      <w:r>
        <w:rPr>
          <w:bCs/>
          <w:b/>
        </w:rPr>
        <w:t xml:space="preserve">État de la réalisation à la date de ce dossier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Schéma de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tables, 80 clés étrangères, 308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Chargé sur MariaDB 10.11, 12 fichiers sans erreur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Laravel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 fichiers PHP, 69 modèles, 19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-l</w:t>
            </w:r>
            <w:r>
              <w:t xml:space="preserve"> </w:t>
            </w:r>
            <w:r>
              <w:t xml:space="preserve">sans erreur sur la totalité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Maquette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4 620 lignes, fichier unique sans dépendance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chemins de vente parcourus au navigateur, 0 erreur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Jeu de démonstration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boutiques, 16 produits, 25 variantes, 14 prestations, 9 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Identité comptable vérifiée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objet-et-périmètre"/>
    <w:p>
      <w:pPr>
        <w:pStyle w:val="Heading2"/>
      </w:pPr>
      <w:r>
        <w:t xml:space="preserve">1. Objet et périmètre</w:t>
      </w:r>
    </w:p>
    <w:bookmarkStart w:id="20" w:name="ce-que-fait-la-plateforme"/>
    <w:p>
      <w:pPr>
        <w:pStyle w:val="Heading3"/>
      </w:pPr>
      <w:r>
        <w:t xml:space="preserve">1.1 Ce que fait la plateforme</w:t>
      </w:r>
    </w:p>
    <w:p>
      <w:pPr>
        <w:pStyle w:val="FirstParagraph"/>
      </w:pPr>
      <w:r>
        <w:t xml:space="preserve">Afrishop met en relation des vendeurs et des clients, encaisse pour le compte des vendeurs,</w:t>
      </w:r>
      <w:r>
        <w:t xml:space="preserve"> </w:t>
      </w:r>
      <w:r>
        <w:t xml:space="preserve">retient ce que la loi impose de retenir, et reverse le solde. Elle héberge le catalogue,</w:t>
      </w:r>
      <w:r>
        <w:t xml:space="preserve"> </w:t>
      </w:r>
      <w:r>
        <w:t xml:space="preserve">le suivi des commandes, la traçabilité des produits et le règlement des litiges.</w:t>
      </w:r>
    </w:p>
    <w:bookmarkEnd w:id="20"/>
    <w:bookmarkStart w:id="21" w:name="Xeca474c2e44604dd6caa4e80966cda2b6677ff1"/>
    <w:p>
      <w:pPr>
        <w:pStyle w:val="Heading3"/>
      </w:pPr>
      <w:r>
        <w:t xml:space="preserve">1.2 Ce qu’elle ne fait pas — et pourquoi c’est écrit ici</w:t>
      </w:r>
    </w:p>
    <w:p>
      <w:pPr>
        <w:pStyle w:val="FirstParagraph"/>
      </w:pPr>
      <w:r>
        <w:t xml:space="preserve">Un périmètre se définit autant par ses exclusions. Chacune de celles-ci a été retenue</w:t>
      </w:r>
      <w:r>
        <w:t xml:space="preserve"> </w:t>
      </w:r>
      <w:r>
        <w:t xml:space="preserve">volontairement, et chacune évite une obligation réglementaire ou un risque disproportionné.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international et douane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Élimine les codes tarifaires, le calcul des droits, les seuils de franchise, le débat DDP/DAP et les colis refusés. Le client désigne son transitaire ; la responsabilité cesse à la remise contre signature.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Détention de fonds au-delà d’un plafond par jalon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Détenir durablement des fonds de tiers relève d’un établissement de paiement agréé. Au-delà du plafond, le client règle le prestataire en direct.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Vente de médicaments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produit homologué MTA</w:t>
            </w:r>
            <w:r>
              <w:t xml:space="preserve"> </w:t>
            </w:r>
            <w:r>
              <w:rPr>
                <w:bCs/>
                <w:b/>
              </w:rPr>
              <w:t xml:space="preserve">est</w:t>
            </w:r>
            <w:r>
              <w:t xml:space="preserve"> </w:t>
            </w:r>
            <w:r>
              <w:t xml:space="preserve">un médicament, donc soumis au monopole de dispensation. Il est référencé, pas vendu.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Encaissement d’honoraires réglementés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Notaires, avocats, huissiers manient des fonds de tiers sous responsabilité personnelle devant leur ordre. La plateforme met en relation et n’encaisse pas.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Encaissement en devises étrangères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Ferait entrer la société dans la réglementation des relations financières extérieures (rapatriement sous 30 jours, cession partielle, compte en devises soumis à autorisation). Les prix s’affichent en euros ; le règlement se fait en francs CFA.</w:t>
            </w:r>
          </w:p>
        </w:tc>
      </w:tr>
    </w:tbl>
    <w:bookmarkEnd w:id="21"/>
    <w:bookmarkStart w:id="22" w:name="les-six-chemins-de-vente"/>
    <w:p>
      <w:pPr>
        <w:pStyle w:val="Heading3"/>
      </w:pPr>
      <w:r>
        <w:t xml:space="preserve">1.3 Les six chemins de vente</w:t>
      </w:r>
    </w:p>
    <w:p>
      <w:pPr>
        <w:pStyle w:val="FirstParagraph"/>
      </w:pPr>
      <w:r>
        <w:t xml:space="preserve">C’est la structure centrale du système. Chaque chemin a un traitement distinct de l’argent,</w:t>
      </w:r>
      <w:r>
        <w:t xml:space="preserve"> </w:t>
      </w:r>
      <w:r>
        <w:t xml:space="preserve">de la responsabilité et de la comptabilité. Les confondre est la principale source d’erreur.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 livre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 cesse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 en 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encaissé → séquestre → reversé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barème boutique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la livraison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Paiement à la livraison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perçu à la porte → séquestre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barème boutique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la livraison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 au comptoir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 plateforme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0 % par défaut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immédiatement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par transitaire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réglé localement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règlement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barème boutique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la remise contre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sous plafond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séquestre</w:t>
            </w:r>
            <w:r>
              <w:t xml:space="preserve"> </w:t>
            </w:r>
            <w:r>
              <w:rPr>
                <w:bCs/>
                <w:b/>
              </w:rPr>
              <w:t xml:space="preserve">par jalon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barème dégressif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la réception du jalon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au-dessus du plafond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hors 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à facturer seulement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barème dégressif, facturé à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la réception du jalon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9" w:name="besoins-fonctionnels"/>
    <w:p>
      <w:pPr>
        <w:pStyle w:val="Heading2"/>
      </w:pPr>
      <w:r>
        <w:t xml:space="preserve">2. Besoins fonctionnels</w:t>
      </w:r>
    </w:p>
    <w:bookmarkStart w:id="24" w:name="acteurs"/>
    <w:p>
      <w:pPr>
        <w:pStyle w:val="Heading3"/>
      </w:pPr>
      <w:r>
        <w:t xml:space="preserve">2.1 Acteurs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Parcourt le catalogue, compare, cherche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Commande, suit, conteste,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+ téléphone (pas de compte — voir § 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Vendeur marchand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Gère catalogue, stock, commandes, caisse comptoir, liquidations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boutique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Prestataire de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Chiffre des devis, déclare l’avancement des jalons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boutique, indicateur</w:t>
            </w:r>
            <w:r>
              <w:t xml:space="preserve"> </w:t>
            </w:r>
            <w:r>
              <w:rPr>
                <w:rStyle w:val="VerbatimChar"/>
              </w:rPr>
              <w:t xml:space="preserve">prestataire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Administrateur Afrishop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 les boutiques, arbitre les litiges, autorise les publications en catégorie réservée, suit le grand livre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administrateur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Professionnel réglementé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Référencé à l’annuaire, non vendeur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documentaire</w:t>
            </w:r>
          </w:p>
        </w:tc>
      </w:tr>
    </w:tbl>
    <w:p>
      <w:pPr>
        <w:pStyle w:val="BodyText"/>
      </w:pPr>
      <w:r>
        <w:rPr>
          <w:bCs/>
          <w:b/>
        </w:rPr>
        <w:t xml:space="preserve">RG-01</w:t>
      </w:r>
      <w:r>
        <w:t xml:space="preserve"> </w:t>
      </w:r>
      <w:r>
        <w:t xml:space="preserve">— Un acteur n’a jamais deux rôles sur une même opération. En particulier, le</w:t>
      </w:r>
      <w:r>
        <w:t xml:space="preserve"> </w:t>
      </w:r>
      <w:r>
        <w:t xml:space="preserve">prestataire déclare l’avancement mais ne le valide jamais ; le client valide mais ne déclare</w:t>
      </w:r>
      <w:r>
        <w:t xml:space="preserve"> </w:t>
      </w:r>
      <w:r>
        <w:t xml:space="preserve">jamais. Les litiges de chantier naissent presque toujours de la confusion entre ces deux gestes.</w:t>
      </w:r>
    </w:p>
    <w:bookmarkEnd w:id="24"/>
    <w:bookmarkStart w:id="25" w:name="catalogue"/>
    <w:p>
      <w:pPr>
        <w:pStyle w:val="Heading3"/>
      </w:pPr>
      <w:r>
        <w:t xml:space="preserve">2.2 Catalogue</w:t>
      </w:r>
    </w:p>
    <w:p>
      <w:pPr>
        <w:pStyle w:val="FirstParagraph"/>
      </w:pPr>
      <w:r>
        <w:rPr>
          <w:bCs/>
          <w:b/>
        </w:rPr>
        <w:t xml:space="preserve">RG-02</w:t>
      </w:r>
      <w:r>
        <w:t xml:space="preserve"> </w:t>
      </w:r>
      <w:r>
        <w:t xml:space="preserve">— Une catégorie n’est pas une boutique. Le produit porte la catégorie ; plusieurs</w:t>
      </w:r>
      <w:r>
        <w:t xml:space="preserve"> </w:t>
      </w:r>
      <w:r>
        <w:t xml:space="preserve">boutiques se concurrencent dans la même. C’est ce qui rend le comparateur utile.</w:t>
      </w:r>
    </w:p>
    <w:p>
      <w:pPr>
        <w:pStyle w:val="BodyText"/>
      </w:pPr>
      <w:r>
        <w:rPr>
          <w:bCs/>
          <w:b/>
        </w:rPr>
        <w:t xml:space="preserve">RG-03</w:t>
      </w:r>
      <w:r>
        <w:t xml:space="preserve"> </w:t>
      </w:r>
      <w:r>
        <w:t xml:space="preserve">— Le stock est porté par la</w:t>
      </w:r>
      <w:r>
        <w:t xml:space="preserve"> </w:t>
      </w:r>
      <w:r>
        <w:rPr>
          <w:bCs/>
          <w:b/>
        </w:rPr>
        <w:t xml:space="preserve">variante</w:t>
      </w:r>
      <w:r>
        <w:t xml:space="preserve">, jamais par le produit. Un produit sans</w:t>
      </w:r>
      <w:r>
        <w:t xml:space="preserve"> </w:t>
      </w:r>
      <w:r>
        <w:t xml:space="preserve">déclinaison possède une variante « Standard ». Un seul chemin de code, donc un seul endroit</w:t>
      </w:r>
      <w:r>
        <w:t xml:space="preserve"> </w:t>
      </w:r>
      <w:r>
        <w:t xml:space="preserve">où le stock peut être faux.</w:t>
      </w:r>
    </w:p>
    <w:p>
      <w:pPr>
        <w:pStyle w:val="BodyText"/>
      </w:pPr>
      <w:r>
        <w:rPr>
          <w:bCs/>
          <w:b/>
        </w:rPr>
        <w:t xml:space="preserve">RG-04</w:t>
      </w:r>
      <w:r>
        <w:t xml:space="preserve"> </w:t>
      </w:r>
      <w:r>
        <w:t xml:space="preserve">— Les prix sont des entiers en francs CFA. Le franc CFA n’a pas de sous-unité en</w:t>
      </w:r>
      <w:r>
        <w:t xml:space="preserve"> </w:t>
      </w:r>
      <w:r>
        <w:t xml:space="preserve">usage, et un flottant introduirait des erreurs d’arrondi sur des commissions et retenues qui</w:t>
      </w:r>
      <w:r>
        <w:t xml:space="preserve"> </w:t>
      </w:r>
      <w:r>
        <w:t xml:space="preserve">s’appliquent en cascade sur les mêmes sommes.</w:t>
      </w:r>
    </w:p>
    <w:p>
      <w:pPr>
        <w:pStyle w:val="BodyText"/>
      </w:pPr>
      <w:r>
        <w:rPr>
          <w:bCs/>
          <w:b/>
        </w:rPr>
        <w:t xml:space="preserve">RG-05</w:t>
      </w:r>
      <w:r>
        <w:t xml:space="preserve"> </w:t>
      </w:r>
      <w:r>
        <w:t xml:space="preserve">— Toute variation de stock est écrite au journal des mouvements avec sa cause</w:t>
      </w:r>
      <w:r>
        <w:t xml:space="preserve"> </w:t>
      </w:r>
      <w:r>
        <w:t xml:space="preserve">(</w:t>
      </w:r>
      <w:r>
        <w:rPr>
          <w:rStyle w:val="VerbatimChar"/>
        </w:rPr>
        <w:t xml:space="preserve">vente_en_ligne</w:t>
      </w:r>
      <w:r>
        <w:t xml:space="preserve">,</w:t>
      </w:r>
      <w:r>
        <w:t xml:space="preserve"> </w:t>
      </w:r>
      <w:r>
        <w:rPr>
          <w:rStyle w:val="VerbatimChar"/>
        </w:rPr>
        <w:t xml:space="preserve">vente_comptoir</w:t>
      </w:r>
      <w:r>
        <w:t xml:space="preserve">,</w:t>
      </w:r>
      <w:r>
        <w:t xml:space="preserve"> </w:t>
      </w:r>
      <w:r>
        <w:rPr>
          <w:rStyle w:val="VerbatimChar"/>
        </w:rPr>
        <w:t xml:space="preserve">retour</w:t>
      </w:r>
      <w:r>
        <w:t xml:space="preserve">,</w:t>
      </w:r>
      <w:r>
        <w:t xml:space="preserve"> </w:t>
      </w:r>
      <w:r>
        <w:rPr>
          <w:rStyle w:val="VerbatimChar"/>
        </w:rPr>
        <w:t xml:space="preserve">perte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peremption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inventaire</w:t>
      </w:r>
      <w:r>
        <w:t xml:space="preserve">). Un stock</w:t>
      </w:r>
      <w:r>
        <w:t xml:space="preserve"> </w:t>
      </w:r>
      <w:r>
        <w:t xml:space="preserve">qui bouge sans cause connue est un stock qu’on ne peut pas auditer.</w:t>
      </w:r>
    </w:p>
    <w:bookmarkEnd w:id="25"/>
    <w:bookmarkStart w:id="26" w:name="liquidation"/>
    <w:p>
      <w:pPr>
        <w:pStyle w:val="Heading3"/>
      </w:pPr>
      <w:r>
        <w:t xml:space="preserve">2.3 Liquidation</w:t>
      </w:r>
    </w:p>
    <w:p>
      <w:pPr>
        <w:pStyle w:val="FirstParagraph"/>
      </w:pPr>
      <w:r>
        <w:t xml:space="preserve">Un produit en liquidation est vendu sous son prix normal pour être écoulé.</w:t>
      </w:r>
    </w:p>
    <w:p>
      <w:pPr>
        <w:pStyle w:val="BodyText"/>
      </w:pPr>
      <w:r>
        <w:rPr>
          <w:bCs/>
          <w:b/>
        </w:rPr>
        <w:t xml:space="preserve">RG-06 — Motif obligatoire et affiché.</w:t>
      </w:r>
      <w:r>
        <w:t xml:space="preserve"> </w:t>
      </w:r>
      <w:r>
        <w:t xml:space="preserve">Quatre motifs typés : date limite proche, surstock,</w:t>
      </w:r>
      <w:r>
        <w:t xml:space="preserve"> </w:t>
      </w:r>
      <w:r>
        <w:t xml:space="preserve">fin de série, défaut mineur. Un prix barré sans explication passe pour une ficelle commerciale ;</w:t>
      </w:r>
      <w:r>
        <w:t xml:space="preserve"> </w:t>
      </w:r>
      <w:r>
        <w:t xml:space="preserve">« lot dont la date approche » est une information honnête, et c’est cette honnêteté qui évite</w:t>
      </w:r>
      <w:r>
        <w:t xml:space="preserve"> </w:t>
      </w:r>
      <w:r>
        <w:t xml:space="preserve">le litige « on ne m’avait pas dit ».</w:t>
      </w:r>
    </w:p>
    <w:p>
      <w:pPr>
        <w:pStyle w:val="BodyText"/>
      </w:pPr>
      <w:r>
        <w:rPr>
          <w:bCs/>
          <w:b/>
        </w:rPr>
        <w:t xml:space="preserve">RG-07 — Date de fin obligatoire.</w:t>
      </w:r>
      <w:r>
        <w:t xml:space="preserve"> </w:t>
      </w:r>
      <w:r>
        <w:t xml:space="preserve">Sans date de fin, une liquidation devient le prix normal</w:t>
      </w:r>
      <w:r>
        <w:t xml:space="preserve"> </w:t>
      </w:r>
      <w:r>
        <w:t xml:space="preserve">et le prix barré ne veut plus rien dire. Durée maximale paramétrable, 90 jours par défaut.</w:t>
      </w:r>
    </w:p>
    <w:p>
      <w:pPr>
        <w:pStyle w:val="BodyText"/>
      </w:pPr>
      <w:r>
        <w:rPr>
          <w:bCs/>
          <w:b/>
        </w:rPr>
        <w:t xml:space="preserve">RG-08 — Si le motif est la péremption, la date est obligatoire et affichée en clair</w:t>
      </w:r>
      <w:r>
        <w:t xml:space="preserve"> </w:t>
      </w:r>
      <w:r>
        <w:t xml:space="preserve">sur la</w:t>
      </w:r>
      <w:r>
        <w:t xml:space="preserve"> </w:t>
      </w:r>
      <w:r>
        <w:t xml:space="preserve">carte produit, la fiche et le récapitulatif de commande.</w:t>
      </w:r>
    </w:p>
    <w:p>
      <w:pPr>
        <w:pStyle w:val="BodyText"/>
      </w:pPr>
      <w:r>
        <w:rPr>
          <w:bCs/>
          <w:b/>
        </w:rPr>
        <w:t xml:space="preserve">RG-09 — Un lot périmé est retiré de la vente automatiquement.</w:t>
      </w:r>
      <w:r>
        <w:t xml:space="preserve"> </w:t>
      </w:r>
      <w:r>
        <w:t xml:space="preserve">C’est le scénario le plus</w:t>
      </w:r>
      <w:r>
        <w:t xml:space="preserve"> </w:t>
      </w:r>
      <w:r>
        <w:t xml:space="preserve">grave du système : un produit périmé qui reste achetable et qui porte un QR de traçabilité</w:t>
      </w:r>
      <w:r>
        <w:t xml:space="preserve"> </w:t>
      </w:r>
      <w:r>
        <w:t xml:space="preserve">transformerait la preuve d’origine en preuve de faute.</w:t>
      </w:r>
    </w:p>
    <w:p>
      <w:pPr>
        <w:pStyle w:val="BodyText"/>
      </w:pPr>
      <w:r>
        <w:rPr>
          <w:bCs/>
          <w:b/>
        </w:rPr>
        <w:t xml:space="preserve">RG-10 — Proposition automatique, décision humaine.</w:t>
      </w:r>
      <w:r>
        <w:t xml:space="preserve"> </w:t>
      </w:r>
      <w:r>
        <w:t xml:space="preserve">Les produits traçables portent déjà une</w:t>
      </w:r>
      <w:r>
        <w:t xml:space="preserve"> </w:t>
      </w:r>
      <w:r>
        <w:t xml:space="preserve">date de péremption dans leur lot QR ; cette date est donc saisie pour une autre raison. Quand</w:t>
      </w:r>
      <w:r>
        <w:t xml:space="preserve"> </w:t>
      </w:r>
      <w:r>
        <w:t xml:space="preserve">un lot passe sous le seuil (45 jours par défaut), le système</w:t>
      </w:r>
      <w:r>
        <w:t xml:space="preserve"> </w:t>
      </w:r>
      <w:r>
        <w:rPr>
          <w:bCs/>
          <w:b/>
        </w:rPr>
        <w:t xml:space="preserve">propose</w:t>
      </w:r>
      <w:r>
        <w:t xml:space="preserve"> </w:t>
      </w:r>
      <w:r>
        <w:t xml:space="preserve">au vendeur d’écouler,</w:t>
      </w:r>
      <w:r>
        <w:t xml:space="preserve"> </w:t>
      </w:r>
      <w:r>
        <w:t xml:space="preserve">avec une remise</w:t>
      </w:r>
      <w:r>
        <w:t xml:space="preserve"> </w:t>
      </w:r>
      <w:r>
        <w:rPr>
          <w:bCs/>
          <w:b/>
        </w:rPr>
        <w:t xml:space="preserve">suggérée</w:t>
      </w:r>
      <w:r>
        <w:t xml:space="preserve"> </w:t>
      </w:r>
      <w:r>
        <w:t xml:space="preserve">croissante à mesure que la date approche (20 % à plus de 30 jours,</w:t>
      </w:r>
      <w:r>
        <w:t xml:space="preserve"> </w:t>
      </w:r>
      <w:r>
        <w:t xml:space="preserve">jusqu’à 50 % à moins de 7 jours). Le vendeur tranche : lui seul connaît sa marge, et une remise</w:t>
      </w:r>
      <w:r>
        <w:t xml:space="preserve"> </w:t>
      </w:r>
      <w:r>
        <w:t xml:space="preserve">calculée sans elle peut le faire vendre à perte. Le système ne modifie jamais un prix seul.</w:t>
      </w:r>
    </w:p>
    <w:p>
      <w:pPr>
        <w:pStyle w:val="BodyText"/>
      </w:pPr>
      <w:r>
        <w:rPr>
          <w:bCs/>
          <w:b/>
        </w:rPr>
        <w:t xml:space="preserve">RG-11 — Le prix effectif est calculé en un seul endroit.</w:t>
      </w:r>
      <w:r>
        <w:t xml:space="preserve"> </w:t>
      </w:r>
      <w:r>
        <w:t xml:space="preserve">Toute commission, toute retenue,</w:t>
      </w:r>
      <w:r>
        <w:t xml:space="preserve"> </w:t>
      </w:r>
      <w:r>
        <w:t xml:space="preserve">tout total de panier passe par la même fonction. Si un seul endroit du code lit encore le prix</w:t>
      </w:r>
      <w:r>
        <w:t xml:space="preserve"> </w:t>
      </w:r>
      <w:r>
        <w:t xml:space="preserve">de la variante directement, la liquidation ne s’y applique pas et les comptes ne tombent pas.</w:t>
      </w:r>
    </w:p>
    <w:bookmarkEnd w:id="26"/>
    <w:bookmarkStart w:id="27" w:name="X8db1b8a84407828127dca3795828c1e78135e90"/>
    <w:p>
      <w:pPr>
        <w:pStyle w:val="Heading3"/>
      </w:pPr>
      <w:r>
        <w:t xml:space="preserve">2.4 Catégories réservées — produits naturels et pharmacopée</w:t>
      </w:r>
    </w:p>
    <w:p>
      <w:pPr>
        <w:pStyle w:val="FirstParagraph"/>
      </w:pPr>
      <w:r>
        <w:rPr>
          <w:bCs/>
          <w:b/>
        </w:rPr>
        <w:t xml:space="preserve">RG-12 — Une catégorie réservée n’est pas fermée : elle est sous contrôle.</w:t>
      </w:r>
      <w:r>
        <w:t xml:space="preserve"> </w:t>
      </w:r>
      <w:r>
        <w:t xml:space="preserve">N’importe quelle</w:t>
      </w:r>
      <w:r>
        <w:t xml:space="preserve"> </w:t>
      </w:r>
      <w:r>
        <w:t xml:space="preserve">boutique peut proposer une fiche ; celle-ci ne devient visible qu’après autorisation explicite</w:t>
      </w:r>
      <w:r>
        <w:t xml:space="preserve"> </w:t>
      </w:r>
      <w:r>
        <w:t xml:space="preserve">d’un administrateur,</w:t>
      </w:r>
      <w:r>
        <w:t xml:space="preserve"> </w:t>
      </w:r>
      <w:r>
        <w:rPr>
          <w:bCs/>
          <w:b/>
        </w:rPr>
        <w:t xml:space="preserve">fiche par fiche</w:t>
      </w:r>
      <w:r>
        <w:t xml:space="preserve">. Verrouiller protège en fermant ; autoriser protège en</w:t>
      </w:r>
      <w:r>
        <w:t xml:space="preserve"> </w:t>
      </w:r>
      <w:r>
        <w:t xml:space="preserve">relisant. Le second garde le rayon ouvert aux coopératives et aux récoltants qui en font la</w:t>
      </w:r>
      <w:r>
        <w:t xml:space="preserve"> </w:t>
      </w:r>
      <w:r>
        <w:t xml:space="preserve">valeur — mais engage Afrishop sur ce qu’il valide, et pas seulement sur ce qu’il vend.</w:t>
      </w:r>
      <w:r>
        <w:t xml:space="preserve"> </w:t>
      </w:r>
      <w:r>
        <w:t xml:space="preserve">Autoriser une fiche fautive n’est pas plus excusable que l’avoir écrite.</w:t>
      </w:r>
    </w:p>
    <w:p>
      <w:pPr>
        <w:pStyle w:val="BodyText"/>
      </w:pPr>
      <w:r>
        <w:rPr>
          <w:bCs/>
          <w:b/>
        </w:rPr>
        <w:t xml:space="preserve">RG-13 — La frontière est dans la fiche, pas dans le produit.</w:t>
      </w:r>
      <w:r>
        <w:t xml:space="preserve"> </w:t>
      </w:r>
      <w:r>
        <w:t xml:space="preserve">Entre « feuilles de baobab</w:t>
      </w:r>
      <w:r>
        <w:t xml:space="preserve"> </w:t>
      </w:r>
      <w:r>
        <w:t xml:space="preserve">séchées » et « feuilles de baobab qui soignent l’anémie », il y a la frontière entre un aliment</w:t>
      </w:r>
      <w:r>
        <w:t xml:space="preserve"> </w:t>
      </w:r>
      <w:r>
        <w:t xml:space="preserve">et un médicament. C’est donc la fiche qu’on relit.</w:t>
      </w:r>
    </w:p>
    <w:p>
      <w:pPr>
        <w:pStyle w:val="BodyText"/>
      </w:pPr>
      <w:r>
        <w:rPr>
          <w:bCs/>
          <w:b/>
        </w:rPr>
        <w:t xml:space="preserve">RG-14 — Homologué et non homologué : le contresens à ne pas commettre.</w:t>
      </w:r>
      <w:r>
        <w:t xml:space="preserve"> </w:t>
      </w:r>
      <w:r>
        <w:t xml:space="preserve">Le réflexe est de</w:t>
      </w:r>
      <w:r>
        <w:t xml:space="preserve"> </w:t>
      </w:r>
      <w:r>
        <w:t xml:space="preserve">croire qu’un produit homologué se vend plus facilement.</w:t>
      </w:r>
      <w:r>
        <w:t xml:space="preserve"> </w:t>
      </w:r>
      <w:r>
        <w:rPr>
          <w:bCs/>
          <w:b/>
        </w:rPr>
        <w:t xml:space="preserve">Pour un médicament traditionnel</w:t>
      </w:r>
      <w:r>
        <w:rPr>
          <w:bCs/>
          <w:b/>
        </w:rPr>
        <w:t xml:space="preserve"> </w:t>
      </w:r>
      <w:r>
        <w:rPr>
          <w:bCs/>
          <w:b/>
        </w:rPr>
        <w:t xml:space="preserve">amélioré, c’est l’inverse.</w:t>
      </w:r>
      <w:r>
        <w:t xml:space="preserve"> </w:t>
      </w:r>
      <w:r>
        <w:t xml:space="preserve">Une autorisation de mise sur le marché ne dit pas « vous pouvez le</w:t>
      </w:r>
      <w:r>
        <w:t xml:space="preserve"> </w:t>
      </w:r>
      <w:r>
        <w:t xml:space="preserve">vendre partout » : elle dit « ceci</w:t>
      </w:r>
      <w:r>
        <w:t xml:space="preserve"> </w:t>
      </w:r>
      <w:r>
        <w:rPr>
          <w:bCs/>
          <w:b/>
        </w:rPr>
        <w:t xml:space="preserve">est</w:t>
      </w:r>
      <w:r>
        <w:t xml:space="preserve"> </w:t>
      </w:r>
      <w:r>
        <w:t xml:space="preserve">un médicament ». Et un médicament relève du circuit</w:t>
      </w:r>
      <w:r>
        <w:t xml:space="preserve"> </w:t>
      </w:r>
      <w:r>
        <w:t xml:space="preserve">pharmaceutique — grossiste répartiteur puis officine. L’homologation ne lève pas le monopole,</w:t>
      </w:r>
      <w:r>
        <w:t xml:space="preserve"> </w:t>
      </w:r>
      <w:r>
        <w:t xml:space="preserve">elle y fait entrer.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homologué + aucune allégation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Vendu</w:t>
            </w:r>
            <w:r>
              <w:t xml:space="preserve"> </w:t>
            </w:r>
            <w:r>
              <w:t xml:space="preserve">sur la plateforme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homologué + allégation de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Médicament non autorisé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Interdit</w:t>
            </w:r>
            <w:r>
              <w:t xml:space="preserve"> </w:t>
            </w:r>
            <w:r>
              <w:t xml:space="preserve">— publication refusée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Homologué MTA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Médicament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Référencé</w:t>
            </w:r>
            <w:r>
              <w:t xml:space="preserve"> </w:t>
            </w:r>
            <w:r>
              <w:t xml:space="preserve">avec numéro et fabricant, orientation vers l’officine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RG-15 — Garde-fou lexical.</w:t>
      </w:r>
      <w:r>
        <w:t xml:space="preserve"> </w:t>
      </w:r>
      <w:r>
        <w:t xml:space="preserve">Une liste de termes interdits (</w:t>
      </w:r>
      <w:r>
        <w:rPr>
          <w:rStyle w:val="VerbatimChar"/>
        </w:rPr>
        <w:t xml:space="preserve">soigne</w:t>
      </w:r>
      <w:r>
        <w:t xml:space="preserve">,</w:t>
      </w:r>
      <w:r>
        <w:t xml:space="preserve"> </w:t>
      </w:r>
      <w:r>
        <w:rPr>
          <w:rStyle w:val="VerbatimChar"/>
        </w:rPr>
        <w:t xml:space="preserve">guérit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remède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posologie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ordonnance</w:t>
      </w:r>
      <w:r>
        <w:t xml:space="preserve">…) est appliquée à la description avant soumission. La</w:t>
      </w:r>
      <w:r>
        <w:t xml:space="preserve"> </w:t>
      </w:r>
      <w:r>
        <w:t xml:space="preserve">détection est indicative : elle assiste le relecteur, elle ne le remplace pas.</w:t>
      </w:r>
    </w:p>
    <w:bookmarkEnd w:id="27"/>
    <w:bookmarkStart w:id="28" w:name="services-et-prestations"/>
    <w:p>
      <w:pPr>
        <w:pStyle w:val="Heading3"/>
      </w:pPr>
      <w:r>
        <w:t xml:space="preserve">2.5 Services et prestations</w:t>
      </w:r>
    </w:p>
    <w:p>
      <w:pPr>
        <w:pStyle w:val="FirstParagraph"/>
      </w:pPr>
      <w:r>
        <w:t xml:space="preserve">Un service n’est pas un produit dont le champ stock est vide. Presque tout ce que le modèle</w:t>
      </w:r>
      <w:r>
        <w:t xml:space="preserve"> </w:t>
      </w:r>
      <w:r>
        <w:t xml:space="preserve">produit tenait pour acquis tombe : pas de stock, pas de livraison, pas de QR, pas de prix ferme,</w:t>
      </w:r>
      <w:r>
        <w:t xml:space="preserve"> </w:t>
      </w:r>
      <w:r>
        <w:t xml:space="preserve">pas de délai court.</w:t>
      </w:r>
    </w:p>
    <w:p>
      <w:pPr>
        <w:pStyle w:val="BodyText"/>
      </w:pPr>
      <w:r>
        <w:rPr>
          <w:bCs/>
          <w:b/>
        </w:rPr>
        <w:t xml:space="preserve">Familles couvertes</w:t>
      </w:r>
      <w:r>
        <w:t xml:space="preserve"> </w:t>
      </w:r>
      <w:r>
        <w:t xml:space="preserve">: BTP et construction · menuiserie et ébénisterie · soudure et</w:t>
      </w:r>
      <w:r>
        <w:t xml:space="preserve"> </w:t>
      </w:r>
      <w:r>
        <w:t xml:space="preserve">métallerie · couture et stylisme · génie logiciel · formation · juridique et notarial ·</w:t>
      </w:r>
      <w:r>
        <w:t xml:space="preserve"> </w:t>
      </w:r>
      <w:r>
        <w:t xml:space="preserve">autres prestations.</w:t>
      </w:r>
    </w:p>
    <w:p>
      <w:pPr>
        <w:pStyle w:val="BodyText"/>
      </w:pPr>
      <w:r>
        <w:rPr>
          <w:bCs/>
          <w:b/>
        </w:rPr>
        <w:t xml:space="preserve">RG-16 — Deux modes de vente.</w:t>
      </w:r>
      <w:r>
        <w:t xml:space="preserve"> </w:t>
      </w:r>
      <w:r>
        <w:t xml:space="preserve">Prix fixe (formation, site vitrine, porte standard) : le</w:t>
      </w:r>
      <w:r>
        <w:t xml:space="preserve"> </w:t>
      </w:r>
      <w:r>
        <w:t xml:space="preserve">service rejoint le panier comme un produit, sans consommer de stock ni déclencher de livraison.</w:t>
      </w:r>
      <w:r>
        <w:t xml:space="preserve"> </w:t>
      </w:r>
      <w:r>
        <w:t xml:space="preserve">Sur devis (chantier, meuble sur mesure, portail) : rien ne peut être mis au panier tant que le</w:t>
      </w:r>
      <w:r>
        <w:t xml:space="preserve"> </w:t>
      </w:r>
      <w:r>
        <w:t xml:space="preserve">prix ferme n’est pas arrêté. Forcer l’un ou l’autre partout perd la moitié du catalogue.</w:t>
      </w:r>
    </w:p>
    <w:p>
      <w:pPr>
        <w:pStyle w:val="BodyText"/>
      </w:pPr>
      <w:r>
        <w:rPr>
          <w:bCs/>
          <w:b/>
        </w:rPr>
        <w:t xml:space="preserve">RG-17 — Cycle du devis, cinq états, trois propriétaires.</w:t>
      </w:r>
    </w:p>
    <w:p>
      <w:pPr>
        <w:pStyle w:val="SourceCode"/>
      </w:pPr>
      <w:r>
        <w:rPr>
          <w:rStyle w:val="VerbatimChar"/>
        </w:rPr>
        <w:t xml:space="preserve">demande      le client décrit son besoin                     (client)</w:t>
      </w:r>
      <w:r>
        <w:br/>
      </w:r>
      <w:r>
        <w:rPr>
          <w:rStyle w:val="VerbatimChar"/>
        </w:rPr>
        <w:t xml:space="preserve">chiffré      le prestataire pose un prix ferme               (prestataire)</w:t>
      </w:r>
      <w:r>
        <w:br/>
      </w:r>
      <w:r>
        <w:rPr>
          <w:rStyle w:val="VerbatimChar"/>
        </w:rPr>
        <w:t xml:space="preserve">accepté      le client accepte — vaut contrat                (client)</w:t>
      </w:r>
      <w:r>
        <w:br/>
      </w:r>
      <w:r>
        <w:rPr>
          <w:rStyle w:val="VerbatimChar"/>
        </w:rPr>
        <w:t xml:space="preserve">  ↳ par jalon :  financé (client) → déclaré (prestataire) → validé (client)</w:t>
      </w:r>
      <w:r>
        <w:br/>
      </w:r>
      <w:r>
        <w:rPr>
          <w:rStyle w:val="VerbatimChar"/>
        </w:rPr>
        <w:t xml:space="preserve">réceptionné  dernier jalon validé                            (client)</w:t>
      </w:r>
    </w:p>
    <w:p>
      <w:pPr>
        <w:pStyle w:val="FirstParagraph"/>
      </w:pPr>
      <w:r>
        <w:rPr>
          <w:bCs/>
          <w:b/>
        </w:rPr>
        <w:t xml:space="preserve">RG-18 — Aucun engagement financier avant acceptation.</w:t>
      </w:r>
      <w:r>
        <w:t xml:space="preserve"> </w:t>
      </w:r>
      <w:r>
        <w:t xml:space="preserve">La demande de devis est gratuite et</w:t>
      </w:r>
      <w:r>
        <w:t xml:space="preserve"> </w:t>
      </w:r>
      <w:r>
        <w:t xml:space="preserve">n’engage rien. Le refus est sans frais.</w:t>
      </w:r>
    </w:p>
    <w:p>
      <w:pPr>
        <w:pStyle w:val="BodyText"/>
      </w:pPr>
      <w:r>
        <w:rPr>
          <w:bCs/>
          <w:b/>
        </w:rPr>
        <w:t xml:space="preserve">RG-19 — Paiement par jalons, un seul à la fois.</w:t>
      </w:r>
      <w:r>
        <w:t xml:space="preserve"> </w:t>
      </w:r>
      <w:r>
        <w:t xml:space="preserve">On ne séquestre jamais le contrat entier.</w:t>
      </w:r>
      <w:r>
        <w:t xml:space="preserve"> </w:t>
      </w:r>
      <w:r>
        <w:t xml:space="preserve">Le jalon suivant ne peut être appelé que si le précédent est validé — sans cette règle, un</w:t>
      </w:r>
      <w:r>
        <w:t xml:space="preserve"> </w:t>
      </w:r>
      <w:r>
        <w:t xml:space="preserve">prestataire pressé appellerait toutes les tranches le premier jour et le paiement par jalons</w:t>
      </w:r>
      <w:r>
        <w:t xml:space="preserve"> </w:t>
      </w:r>
      <w:r>
        <w:t xml:space="preserve">redeviendrait un paiement d’avance.</w:t>
      </w:r>
    </w:p>
    <w:p>
      <w:pPr>
        <w:pStyle w:val="BodyText"/>
      </w:pPr>
      <w:r>
        <w:rPr>
          <w:bCs/>
          <w:b/>
        </w:rPr>
        <w:t xml:space="preserve">RG-20 — La somme des jalons fait exactement le montant du devis.</w:t>
      </w:r>
      <w:r>
        <w:t xml:space="preserve"> </w:t>
      </w:r>
      <w:r>
        <w:t xml:space="preserve">Le dernier jalon absorbe</w:t>
      </w:r>
      <w:r>
        <w:t xml:space="preserve"> </w:t>
      </w:r>
      <w:r>
        <w:t xml:space="preserve">l’arrondi. Sinon il manque quelques francs à la réception — le genre d’écart qui déclenche un</w:t>
      </w:r>
      <w:r>
        <w:t xml:space="preserve"> </w:t>
      </w:r>
      <w:r>
        <w:t xml:space="preserve">litige pour trois francs et coûte une journée.</w:t>
      </w:r>
    </w:p>
    <w:p>
      <w:pPr>
        <w:pStyle w:val="BodyText"/>
      </w:pPr>
      <w:r>
        <w:rPr>
          <w:bCs/>
          <w:b/>
        </w:rPr>
        <w:t xml:space="preserve">RG-21 — Plafond de séquestre par jalon.</w:t>
      </w:r>
      <w:r>
        <w:t xml:space="preserve"> </w:t>
      </w:r>
      <w:r>
        <w:t xml:space="preserve">Découper réduit l’exposition mais ne l’annule pas :</w:t>
      </w:r>
      <w:r>
        <w:t xml:space="preserve"> </w:t>
      </w:r>
      <w:r>
        <w:t xml:space="preserve">sur un chantier de 18,5 millions en quatre tranches, la plus grosse pèse 5,5 millions. Détenir</w:t>
      </w:r>
      <w:r>
        <w:t xml:space="preserve"> </w:t>
      </w:r>
      <w:r>
        <w:t xml:space="preserve">cette somme pour le compte d’un tiers, même trois semaines, est l’activité d’un établissement de</w:t>
      </w:r>
      <w:r>
        <w:t xml:space="preserve"> </w:t>
      </w:r>
      <w:r>
        <w:t xml:space="preserve">paiement. Au-delà du plafond (2 000 000 F par défaut,</w:t>
      </w:r>
      <w:r>
        <w:t xml:space="preserve"> </w:t>
      </w:r>
      <w:r>
        <w:rPr>
          <w:bCs/>
          <w:b/>
        </w:rPr>
        <w:t xml:space="preserve">paramétrable car la valeur est juridique</w:t>
      </w:r>
      <w:r>
        <w:rPr>
          <w:bCs/>
          <w:b/>
        </w:rPr>
        <w:t xml:space="preserve"> </w:t>
      </w:r>
      <w:r>
        <w:rPr>
          <w:bCs/>
          <w:b/>
        </w:rPr>
        <w:t xml:space="preserve">et non technique</w:t>
      </w:r>
      <w:r>
        <w:t xml:space="preserve">), le client règle le prestataire directement ; la plateforme héberge le</w:t>
      </w:r>
      <w:r>
        <w:t xml:space="preserve"> </w:t>
      </w:r>
      <w:r>
        <w:t xml:space="preserve">devis, les jalons et le procès-verbal de réception, et facture sa commission séparément.</w:t>
      </w:r>
    </w:p>
    <w:p>
      <w:pPr>
        <w:pStyle w:val="BodyText"/>
      </w:pPr>
      <w:r>
        <w:rPr>
          <w:iCs/>
          <w:i/>
        </w:rPr>
        <w:t xml:space="preserve">Illustration mesurée sur le système</w:t>
      </w:r>
      <w:r>
        <w:t xml:space="preserve"> </w:t>
      </w:r>
      <w:r>
        <w:t xml:space="preserve">— chantier hangar de 6 500 000 F en trois tranches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Dalle et scellements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2 275 000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réglé en 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Charpente et bardage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2 925 000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réglé en 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1 300 000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séquestre</w:t>
            </w:r>
          </w:p>
        </w:tc>
      </w:tr>
    </w:tbl>
    <w:p>
      <w:pPr>
        <w:pStyle w:val="BodyText"/>
      </w:pPr>
      <w:r>
        <w:t xml:space="preserve">Sur 6 500 000 F,</w:t>
      </w:r>
      <w:r>
        <w:t xml:space="preserve"> </w:t>
      </w:r>
      <w:r>
        <w:rPr>
          <w:bCs/>
          <w:b/>
        </w:rPr>
        <w:t xml:space="preserve">1 300 000 F seulement transitent par la plateforme</w:t>
      </w:r>
      <w:r>
        <w:t xml:space="preserve"> </w:t>
      </w:r>
      <w:r>
        <w:t xml:space="preserve">— soit 20 %.</w:t>
      </w:r>
    </w:p>
    <w:p>
      <w:pPr>
        <w:pStyle w:val="BodyText"/>
      </w:pPr>
      <w:r>
        <w:rPr>
          <w:bCs/>
          <w:b/>
        </w:rPr>
        <w:t xml:space="preserve">RG-22 — Une tranche réglée en direct se valide quand même.</w:t>
      </w:r>
      <w:r>
        <w:t xml:space="preserve"> </w:t>
      </w:r>
      <w:r>
        <w:t xml:space="preserve">La validation n’est pas seulement</w:t>
      </w:r>
      <w:r>
        <w:t xml:space="preserve"> </w:t>
      </w:r>
      <w:r>
        <w:t xml:space="preserve">un ordre de virement : c’est l’acte par lequel le client reconnaît l’étape faite, et c’est lui</w:t>
      </w:r>
      <w:r>
        <w:t xml:space="preserve"> </w:t>
      </w:r>
      <w:r>
        <w:t xml:space="preserve">qui fera foi en cas de litige. Ce qui change, c’est qu’il n’y a rien à libérer.</w:t>
      </w:r>
    </w:p>
    <w:p>
      <w:pPr>
        <w:pStyle w:val="BodyText"/>
      </w:pPr>
      <w:r>
        <w:rPr>
          <w:bCs/>
          <w:b/>
        </w:rPr>
        <w:t xml:space="preserve">RG-23 — La commission reste due sur une tranche réglée en direct</w:t>
      </w:r>
      <w:r>
        <w:t xml:space="preserve">, mais elle est</w:t>
      </w:r>
      <w:r>
        <w:t xml:space="preserve"> </w:t>
      </w:r>
      <w:r>
        <w:rPr>
          <w:bCs/>
          <w:b/>
        </w:rPr>
        <w:t xml:space="preserve">facturée</w:t>
      </w:r>
      <w:r>
        <w:rPr>
          <w:bCs/>
          <w:b/>
        </w:rPr>
        <w:t xml:space="preserve"> </w:t>
      </w:r>
      <w:r>
        <w:rPr>
          <w:bCs/>
          <w:b/>
        </w:rPr>
        <w:t xml:space="preserve">et non prélevée</w:t>
      </w:r>
      <w:r>
        <w:t xml:space="preserve">. Elle est écrite au grand livre comme créance (</w:t>
      </w:r>
      <w:r>
        <w:rPr>
          <w:rStyle w:val="VerbatimChar"/>
        </w:rPr>
        <w:t xml:space="preserve">commission_a_facturer</w:t>
      </w:r>
      <w:r>
        <w:t xml:space="preserve">). Ne</w:t>
      </w:r>
      <w:r>
        <w:t xml:space="preserve"> </w:t>
      </w:r>
      <w:r>
        <w:t xml:space="preserve">rien écrire ferait travailler la plateforme gratuitement sur les plus gros contrats du catalogue.</w:t>
      </w:r>
    </w:p>
    <w:p>
      <w:pPr>
        <w:pStyle w:val="BodyText"/>
      </w:pPr>
      <w:r>
        <w:rPr>
          <w:bCs/>
          <w:b/>
        </w:rPr>
        <w:t xml:space="preserve">RG-24 — Barème de commission dégressif par tranches.</w:t>
      </w:r>
      <w:r>
        <w:t xml:space="preserve"> </w:t>
      </w:r>
      <w:r>
        <w:t xml:space="preserve">Un taux plat ne survit pas au</w:t>
      </w:r>
      <w:r>
        <w:t xml:space="preserve"> </w:t>
      </w:r>
      <w:r>
        <w:t xml:space="preserve">changement d’échelle : à 10 %, une formation à 75 000 F paie 7 500 F — acceptable ; une maison à</w:t>
      </w:r>
      <w:r>
        <w:t xml:space="preserve"> </w:t>
      </w:r>
      <w:r>
        <w:t xml:space="preserve">25 000 000 F paierait 2 500 000 F — personne ne signe. Le maçon comparerait cette somme au coût</w:t>
      </w:r>
      <w:r>
        <w:t xml:space="preserve"> </w:t>
      </w:r>
      <w:r>
        <w:t xml:space="preserve">d’un coup de téléphone et quitterait la plateforme, en emportant le client. Le barème se calcule</w:t>
      </w:r>
      <w:r>
        <w:t xml:space="preserve"> </w:t>
      </w:r>
      <w:r>
        <w:t xml:space="preserve">comme un impôt sur le revenu : chaque tranche à son taux, pas le taux de la dernière sur le tout.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moyen réel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jusqu’à 500 000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500 000 à 5 000 000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au-delà de 5 000 000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5 000 000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18 500 000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2,2 %</w:t>
            </w:r>
          </w:p>
        </w:tc>
      </w:tr>
    </w:tbl>
    <w:p>
      <w:pPr>
        <w:pStyle w:val="BodyText"/>
      </w:pPr>
      <w:r>
        <w:rPr>
          <w:bCs/>
          <w:b/>
        </w:rPr>
        <w:t xml:space="preserve">RG-25 — Contestation sans remboursement automatique.</w:t>
      </w:r>
      <w:r>
        <w:t xml:space="preserve"> </w:t>
      </w:r>
      <w:r>
        <w:t xml:space="preserve">Sur un chantier, la vérité est rarement</w:t>
      </w:r>
      <w:r>
        <w:t xml:space="preserve"> </w:t>
      </w:r>
      <w:r>
        <w:t xml:space="preserve">d’un seul côté : une dalle mal finie n’annule pas les fondations. Les fonds restent gelés,</w:t>
      </w:r>
      <w:r>
        <w:t xml:space="preserve"> </w:t>
      </w:r>
      <w:r>
        <w:t xml:space="preserve">l’arbitrage tranche, et il peut trancher pour un versement partiel — ce qu’un remboursement</w:t>
      </w:r>
      <w:r>
        <w:t xml:space="preserve"> </w:t>
      </w:r>
      <w:r>
        <w:t xml:space="preserve">automatique aurait rendu impossible.</w:t>
      </w:r>
    </w:p>
    <w:p>
      <w:pPr>
        <w:pStyle w:val="BodyText"/>
      </w:pPr>
      <w:r>
        <w:rPr>
          <w:bCs/>
          <w:b/>
        </w:rPr>
        <w:t xml:space="preserve">RG-26 — Les mesures du client (couture) sont portées par le devis, pas par le compte.</w:t>
      </w:r>
      <w:r>
        <w:t xml:space="preserve"> </w:t>
      </w:r>
      <w:r>
        <w:t xml:space="preserve">Elles</w:t>
      </w:r>
      <w:r>
        <w:t xml:space="preserve"> </w:t>
      </w:r>
      <w:r>
        <w:t xml:space="preserve">changent, et personne ne veut d’un historique de tour de taille.</w:t>
      </w:r>
    </w:p>
    <w:bookmarkEnd w:id="28"/>
    <w:bookmarkStart w:id="29" w:name="commande-éclatée"/>
    <w:p>
      <w:pPr>
        <w:pStyle w:val="Heading3"/>
      </w:pPr>
      <w:r>
        <w:t xml:space="preserve">2.6 Commande éclatée</w:t>
      </w:r>
    </w:p>
    <w:p>
      <w:pPr>
        <w:pStyle w:val="FirstParagraph"/>
      </w:pPr>
      <w:r>
        <w:rPr>
          <w:bCs/>
          <w:b/>
        </w:rPr>
        <w:t xml:space="preserve">RG-27</w:t>
      </w:r>
      <w:r>
        <w:t xml:space="preserve"> </w:t>
      </w:r>
      <w:r>
        <w:t xml:space="preserve">— Une commande client = N sous-commandes, une par boutique. Chacune est préparée,</w:t>
      </w:r>
      <w:r>
        <w:t xml:space="preserve"> </w:t>
      </w:r>
      <w:r>
        <w:t xml:space="preserve">expédiée, contestée et payée indépendamment. Le client voit une commande ; le système en gère N.</w:t>
      </w:r>
    </w:p>
    <w:p>
      <w:pPr>
        <w:pStyle w:val="BodyText"/>
      </w:pPr>
      <w:r>
        <w:rPr>
          <w:bCs/>
          <w:b/>
        </w:rPr>
        <w:t xml:space="preserve">RG-28 — Deux axes indépendants sur une sous-commande</w:t>
      </w:r>
      <w:r>
        <w:t xml:space="preserve"> </w:t>
      </w:r>
      <w:r>
        <w:t xml:space="preserve">: le statut logistique (à préparer,</w:t>
      </w:r>
      <w:r>
        <w:t xml:space="preserve"> </w:t>
      </w:r>
      <w:r>
        <w:t xml:space="preserve">prête, expédiée, livrée, retournée, annulée, vendue au comptoir) et l’état des fonds (attente</w:t>
      </w:r>
      <w:r>
        <w:t xml:space="preserve"> </w:t>
      </w:r>
      <w:r>
        <w:t xml:space="preserve">d’encaissement, séquestre, disponible, remboursé, impayé, hors plateforme). Les fusionner</w:t>
      </w:r>
      <w:r>
        <w:t xml:space="preserve"> </w:t>
      </w:r>
      <w:r>
        <w:t xml:space="preserve">donnerait des états impossibles à représenter — « livrée mais jamais encaissée » est un cas</w:t>
      </w:r>
      <w:r>
        <w:t xml:space="preserve"> </w:t>
      </w:r>
      <w:r>
        <w:t xml:space="preserve">courant du paiement à la livraison.</w:t>
      </w:r>
    </w:p>
    <w:p>
      <w:pPr>
        <w:pStyle w:val="BodyText"/>
      </w:pPr>
      <w:r>
        <w:rPr>
          <w:iCs/>
          <w:i/>
        </w:rPr>
        <w:t xml:space="preserve">Illustration mesurée</w:t>
      </w:r>
      <w:r>
        <w:t xml:space="preserve"> </w:t>
      </w:r>
      <w:r>
        <w:t xml:space="preserve">— un panier de deux boutiques, 28 600 F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Retenue à la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vendeur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Karité du Sahel (avec IFU)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2 200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5 %</w:t>
            </w:r>
            <w:r>
              <w:t xml:space="preserve"> </w:t>
            </w:r>
            <w:r>
              <w:t xml:space="preserve">= 110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1 870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Atelier Kôkô (sans IFU)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25 %</w:t>
            </w:r>
            <w:r>
              <w:t xml:space="preserve"> </w:t>
            </w:r>
            <w:r>
              <w:t xml:space="preserve">= 6 000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15 120 F</w:t>
            </w:r>
          </w:p>
        </w:tc>
      </w:tr>
    </w:tbl>
    <w:p>
      <w:pPr>
        <w:pStyle w:val="BodyText"/>
      </w:pPr>
      <w:r>
        <w:t xml:space="preserve">Même panier, deux régimes fiscaux, deux commissions.</w:t>
      </w:r>
    </w:p>
    <w:bookmarkEnd w:id="29"/>
    <w:bookmarkStart w:id="30" w:name="argent-séquestre-retenue-grand-livre"/>
    <w:p>
      <w:pPr>
        <w:pStyle w:val="Heading3"/>
      </w:pPr>
      <w:r>
        <w:t xml:space="preserve">2.7 Argent : séquestre, retenue, grand livre</w:t>
      </w:r>
    </w:p>
    <w:p>
      <w:pPr>
        <w:pStyle w:val="FirstParagraph"/>
      </w:pPr>
      <w:r>
        <w:rPr>
          <w:bCs/>
          <w:b/>
        </w:rPr>
        <w:t xml:space="preserve">RG-29 — Séquestre par défaut sur la vente en ligne.</w:t>
      </w:r>
      <w:r>
        <w:t xml:space="preserve"> </w:t>
      </w:r>
      <w:r>
        <w:t xml:space="preserve">Les fonds sont libérés à la confirmation</w:t>
      </w:r>
      <w:r>
        <w:t xml:space="preserve"> </w:t>
      </w:r>
      <w:r>
        <w:t xml:space="preserve">du client, ou automatiquement après trois jours.</w:t>
      </w:r>
    </w:p>
    <w:p>
      <w:pPr>
        <w:pStyle w:val="BodyText"/>
      </w:pPr>
      <w:r>
        <w:rPr>
          <w:bCs/>
          <w:b/>
        </w:rPr>
        <w:t xml:space="preserve">RG-30 — Retenue à la source modulée par l’immatriculation fiscale et par le pays.</w:t>
      </w:r>
      <w:r>
        <w:t xml:space="preserve"> </w:t>
      </w:r>
      <w:r>
        <w:t xml:space="preserve">Burkina</w:t>
      </w:r>
      <w:r>
        <w:t xml:space="preserve"> </w:t>
      </w:r>
      <w:r>
        <w:t xml:space="preserve">Faso : 25 % sans IFU, 5 % avec. Bénin : AIB 5 %. Côte d’Ivoire : AIRSI 5 %. Un pays dont le taux</w:t>
      </w:r>
      <w:r>
        <w:t xml:space="preserve"> </w:t>
      </w:r>
      <w:r>
        <w:t xml:space="preserve">n’est pas vérifié porte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et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produit zéro — jamais une valeur devinée.</w:t>
      </w:r>
    </w:p>
    <w:p>
      <w:pPr>
        <w:pStyle w:val="BodyText"/>
      </w:pPr>
      <w:r>
        <w:rPr>
          <w:bCs/>
          <w:b/>
        </w:rPr>
        <w:t xml:space="preserve">RG-31 — L’écart d’immatriculation dépasse toute négociation commerciale.</w:t>
      </w:r>
      <w:r>
        <w:t xml:space="preserve"> </w:t>
      </w:r>
      <w:r>
        <w:t xml:space="preserve">Un artisan</w:t>
      </w:r>
      <w:r>
        <w:t xml:space="preserve"> </w:t>
      </w:r>
      <w:r>
        <w:t xml:space="preserve">burkinabè sans IFU vendant 24 000 F conserve 15 120 F (63 %) ; avec IFU, 19 920 F (83 %).</w:t>
      </w:r>
      <w:r>
        <w:t xml:space="preserve"> </w:t>
      </w:r>
      <w:r>
        <w:t xml:space="preserve">Faire passer sa commission de 12 % à 8 % ne lui rendrait que 960 F ; s’immatriculer lui en rend</w:t>
      </w:r>
      <w:r>
        <w:t xml:space="preserve"> </w:t>
      </w:r>
      <w:r>
        <w:t xml:space="preserve">4 800. Le message doit lui être affiché chiffré, dans son espace vendeur.</w:t>
      </w:r>
    </w:p>
    <w:p>
      <w:pPr>
        <w:pStyle w:val="BodyText"/>
      </w:pPr>
      <w:r>
        <w:rPr>
          <w:bCs/>
          <w:b/>
        </w:rPr>
        <w:t xml:space="preserve">RG-32 — Grand livre en écriture seule.</w:t>
      </w:r>
      <w:r>
        <w:t xml:space="preserve"> </w:t>
      </w:r>
      <w:r>
        <w:t xml:space="preserve">On ne modifie ni ne supprime jamais une écriture ;</w:t>
      </w:r>
      <w:r>
        <w:t xml:space="preserve"> </w:t>
      </w:r>
      <w:r>
        <w:t xml:space="preserve">une erreur se corrige par une écriture inverse. Le solde d’une boutique n’est jamais une</w:t>
      </w:r>
      <w:r>
        <w:t xml:space="preserve"> </w:t>
      </w:r>
      <w:r>
        <w:t xml:space="preserve">colonne : c’est la somme de ses mouvements, recalculée.</w:t>
      </w:r>
    </w:p>
    <w:p>
      <w:pPr>
        <w:pStyle w:val="BodyText"/>
      </w:pPr>
      <w:r>
        <w:rPr>
          <w:bCs/>
          <w:b/>
        </w:rPr>
        <w:t xml:space="preserve">RG-33 — Une vente remboursée n’a produit ni commission ni retenue.</w:t>
      </w:r>
      <w:r>
        <w:t xml:space="preserve"> </w:t>
      </w:r>
      <w:r>
        <w:t xml:space="preserve">La commission suit la</w:t>
      </w:r>
      <w:r>
        <w:t xml:space="preserve"> </w:t>
      </w:r>
      <w:r>
        <w:t xml:space="preserve">vente, et on ne retient pas d’impôt sur un revenu qui a été rendu.</w:t>
      </w:r>
    </w:p>
    <w:p>
      <w:pPr>
        <w:pStyle w:val="BodyText"/>
      </w:pPr>
      <w:r>
        <w:rPr>
          <w:bCs/>
          <w:b/>
        </w:rPr>
        <w:t xml:space="preserve">RG-34 — Contrôle d’équilibre affiché, pas supposé.</w:t>
      </w:r>
      <w:r>
        <w:t xml:space="preserve"> </w:t>
      </w:r>
      <w:r>
        <w:rPr>
          <w:iCs/>
          <w:i/>
        </w:rPr>
        <w:t xml:space="preserve">Crédité − débité = dû aux vendeurs</w:t>
      </w:r>
      <w:r>
        <w:t xml:space="preserve">, en</w:t>
      </w:r>
      <w:r>
        <w:t xml:space="preserve"> </w:t>
      </w:r>
      <w:r>
        <w:t xml:space="preserve">permanence à l’écran de la console. Si l’égalité tombe, elle doit tomber à l’écran plutôt que</w:t>
      </w:r>
      <w:r>
        <w:t xml:space="preserve"> </w:t>
      </w:r>
      <w:r>
        <w:t xml:space="preserve">six mois plus tard en trésorerie.</w:t>
      </w:r>
    </w:p>
    <w:p>
      <w:pPr>
        <w:pStyle w:val="BodyText"/>
      </w:pPr>
      <w:r>
        <w:rPr>
          <w:bCs/>
          <w:b/>
        </w:rPr>
        <w:t xml:space="preserve">RG-35 — La vente au comptoir ne produit aucune écriture.</w:t>
      </w:r>
      <w:r>
        <w:t xml:space="preserve"> </w:t>
      </w:r>
      <w:r>
        <w:t xml:space="preserve">L’argent n’a jamais transité par la</w:t>
      </w:r>
      <w:r>
        <w:t xml:space="preserve"> </w:t>
      </w:r>
      <w:r>
        <w:t xml:space="preserve">plateforme. Elle est enregistrée pour le stock et l’historique, pas pour la comptabilité.</w:t>
      </w:r>
      <w:r>
        <w:t xml:space="preserve"> </w:t>
      </w:r>
      <w:r>
        <w:t xml:space="preserve">Commission nulle par défaut : avec une commission, aucun vendeur ne déclarerait ces ventes et le</w:t>
      </w:r>
      <w:r>
        <w:t xml:space="preserve"> </w:t>
      </w:r>
      <w:r>
        <w:t xml:space="preserve">stock en ligne resterait faux — or un stock faux est la première cause de litige évitable.</w:t>
      </w:r>
    </w:p>
    <w:p>
      <w:pPr>
        <w:pStyle w:val="BodyText"/>
      </w:pPr>
      <w:r>
        <w:rPr>
          <w:bCs/>
          <w:b/>
        </w:rPr>
        <w:t xml:space="preserve">RG-36 — Il n’existe pas encore d’état « versé ».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signifie « sorti du séquestre,</w:t>
      </w:r>
      <w:r>
        <w:t xml:space="preserve"> </w:t>
      </w:r>
      <w:r>
        <w:t xml:space="preserve">disponible au prochain virement hebdomadaire », donc encore dû. Tant qu’aucun débit de versement</w:t>
      </w:r>
      <w:r>
        <w:t xml:space="preserve"> </w:t>
      </w:r>
      <w:r>
        <w:t xml:space="preserve">n’est passé, le solde dû ne redescend jamais. C’est le seul maillon du cycle de l’argent que le</w:t>
      </w:r>
      <w:r>
        <w:t xml:space="preserve"> </w:t>
      </w:r>
      <w:r>
        <w:t xml:space="preserve">système ne simule pas encore (voir § 5.2).</w:t>
      </w:r>
    </w:p>
    <w:bookmarkEnd w:id="30"/>
    <w:bookmarkStart w:id="31" w:name="livraison-retrait-comptoir-transitaire"/>
    <w:p>
      <w:pPr>
        <w:pStyle w:val="Heading3"/>
      </w:pPr>
      <w:r>
        <w:t xml:space="preserve">2.8 Livraison, retrait, comptoir, transitaire</w:t>
      </w:r>
    </w:p>
    <w:p>
      <w:pPr>
        <w:pStyle w:val="FirstParagraph"/>
      </w:pPr>
      <w:r>
        <w:rPr>
          <w:bCs/>
          <w:b/>
        </w:rPr>
        <w:t xml:space="preserve">RG-37</w:t>
      </w:r>
      <w:r>
        <w:t xml:space="preserve"> </w:t>
      </w:r>
      <w:r>
        <w:t xml:space="preserve">— Quatre modes : livraison à domicile contre code à usage unique, retrait en point</w:t>
      </w:r>
      <w:r>
        <w:t xml:space="preserve"> </w:t>
      </w:r>
      <w:r>
        <w:t xml:space="preserve">relais, retrait en boutique, remise au transitaire désigné par le client.</w:t>
      </w:r>
    </w:p>
    <w:p>
      <w:pPr>
        <w:pStyle w:val="BodyText"/>
      </w:pPr>
      <w:r>
        <w:rPr>
          <w:bCs/>
          <w:b/>
        </w:rPr>
        <w:t xml:space="preserve">RG-38 — Adressage double.</w:t>
      </w:r>
      <w:r>
        <w:t xml:space="preserve"> </w:t>
      </w:r>
      <w:r>
        <w:t xml:space="preserve">Zone ouest-africaine : ville, quartier, repère — il n’existe pas</w:t>
      </w:r>
      <w:r>
        <w:t xml:space="preserve"> </w:t>
      </w:r>
      <w:r>
        <w:t xml:space="preserve">d’adressage postal fiable, et c’est le repère qui permet au livreur de trouver. Zone postale :</w:t>
      </w:r>
      <w:r>
        <w:t xml:space="preserve"> </w:t>
      </w:r>
      <w:r>
        <w:t xml:space="preserve">rue, code postal, ville. Le formulaire change avec le pays de livraison, pas avec le pays du</w:t>
      </w:r>
      <w:r>
        <w:t xml:space="preserve"> </w:t>
      </w:r>
      <w:r>
        <w:t xml:space="preserve">client.</w:t>
      </w:r>
    </w:p>
    <w:p>
      <w:pPr>
        <w:pStyle w:val="BodyText"/>
      </w:pPr>
      <w:r>
        <w:rPr>
          <w:bCs/>
          <w:b/>
        </w:rPr>
        <w:t xml:space="preserve">RG-39 — Le pays du client et le pays de livraison sont distincts.</w:t>
      </w:r>
      <w:r>
        <w:t xml:space="preserve"> </w:t>
      </w:r>
      <w:r>
        <w:t xml:space="preserve">Un client en France peut</w:t>
      </w:r>
      <w:r>
        <w:t xml:space="preserve"> </w:t>
      </w:r>
      <w:r>
        <w:t xml:space="preserve">commander pour une livraison au Burkina. Le premier détermine les moyens de paiement et la</w:t>
      </w:r>
      <w:r>
        <w:t xml:space="preserve"> </w:t>
      </w:r>
      <w:r>
        <w:t xml:space="preserve">devise d’affichage ; le second détermine l’adressage et les frais.</w:t>
      </w:r>
    </w:p>
    <w:p>
      <w:pPr>
        <w:pStyle w:val="BodyText"/>
      </w:pPr>
      <w:r>
        <w:rPr>
          <w:bCs/>
          <w:b/>
        </w:rPr>
        <w:t xml:space="preserve">RG-40 — Mandataire payeur.</w:t>
      </w:r>
      <w:r>
        <w:t xml:space="preserve"> </w:t>
      </w:r>
      <w:r>
        <w:t xml:space="preserve">La diaspora commande, un proche règle sur place. La commande</w:t>
      </w:r>
      <w:r>
        <w:t xml:space="preserve"> </w:t>
      </w:r>
      <w:r>
        <w:t xml:space="preserve">conserve le nom du payeur et son lien avec le client.</w:t>
      </w:r>
    </w:p>
    <w:p>
      <w:pPr>
        <w:pStyle w:val="BodyText"/>
      </w:pPr>
      <w:r>
        <w:rPr>
          <w:bCs/>
          <w:b/>
        </w:rPr>
        <w:t xml:space="preserve">RG-41 — La remise au transitaire exige une preuve</w:t>
      </w:r>
      <w:r>
        <w:t xml:space="preserve"> </w:t>
      </w:r>
      <w:r>
        <w:t xml:space="preserve">: nom, pièce d’identité, signature. Sans</w:t>
      </w:r>
      <w:r>
        <w:t xml:space="preserve"> </w:t>
      </w:r>
      <w:r>
        <w:t xml:space="preserve">preuve, un colis perdu six semaines plus tard redevient le problème de la plateforme.</w:t>
      </w:r>
    </w:p>
    <w:bookmarkEnd w:id="31"/>
    <w:bookmarkStart w:id="32" w:name="traçabilité-qr"/>
    <w:p>
      <w:pPr>
        <w:pStyle w:val="Heading3"/>
      </w:pPr>
      <w:r>
        <w:t xml:space="preserve">2.9 Traçabilité QR</w:t>
      </w:r>
    </w:p>
    <w:p>
      <w:pPr>
        <w:pStyle w:val="FirstParagraph"/>
      </w:pPr>
      <w:r>
        <w:rPr>
          <w:bCs/>
          <w:b/>
        </w:rPr>
        <w:t xml:space="preserve">RG-42 — Deux identifiants aux rôles opposés.</w:t>
      </w:r>
      <w:r>
        <w:t xml:space="preserve"> </w:t>
      </w:r>
      <w:r>
        <w:t xml:space="preserve">Le code lisible (séquentiel, format</w:t>
      </w:r>
      <w:r>
        <w:t xml:space="preserve"> </w:t>
      </w:r>
      <w:r>
        <w:rPr>
          <w:rStyle w:val="VerbatimChar"/>
        </w:rPr>
        <w:t xml:space="preserve">JJ/MM/AAAA/NNNN</w:t>
      </w:r>
      <w:r>
        <w:t xml:space="preserve">)</w:t>
      </w:r>
      <w:r>
        <w:t xml:space="preserve"> </w:t>
      </w:r>
      <w:r>
        <w:rPr>
          <w:bCs/>
          <w:b/>
        </w:rPr>
        <w:t xml:space="preserve">identifie</w:t>
      </w:r>
      <w:r>
        <w:t xml:space="preserve"> </w:t>
      </w:r>
      <w:r>
        <w:t xml:space="preserve">; le jeton aléatoire</w:t>
      </w:r>
      <w:r>
        <w:t xml:space="preserve"> </w:t>
      </w:r>
      <w:r>
        <w:rPr>
          <w:bCs/>
          <w:b/>
        </w:rPr>
        <w:t xml:space="preserve">authentifie</w:t>
      </w:r>
      <w:r>
        <w:t xml:space="preserve">. Le premier est prévisible</w:t>
      </w:r>
      <w:r>
        <w:t xml:space="preserve"> </w:t>
      </w:r>
      <w:r>
        <w:t xml:space="preserve">par construction — c’est ce qui permet d’imprimer une planche de 300 étiquettes numérotées. Le</w:t>
      </w:r>
      <w:r>
        <w:t xml:space="preserve"> </w:t>
      </w:r>
      <w:r>
        <w:t xml:space="preserve">second ne l’est pas.</w:t>
      </w:r>
    </w:p>
    <w:p>
      <w:pPr>
        <w:pStyle w:val="BodyText"/>
      </w:pPr>
      <w:r>
        <w:rPr>
          <w:bCs/>
          <w:b/>
        </w:rPr>
        <w:t xml:space="preserve">RG-43 — Alphabet de 31 caractères excluant 0/O/1/I/L.</w:t>
      </w:r>
      <w:r>
        <w:t xml:space="preserve"> </w:t>
      </w:r>
      <w:r>
        <w:t xml:space="preserve">Un client qui recopie un code à la</w:t>
      </w:r>
      <w:r>
        <w:t xml:space="preserve"> </w:t>
      </w:r>
      <w:r>
        <w:t xml:space="preserve">main confond ces caractères ; le refus qui s’ensuit est indiscernable d’une contrefaçon.</w:t>
      </w:r>
    </w:p>
    <w:p>
      <w:pPr>
        <w:pStyle w:val="BodyText"/>
      </w:pPr>
      <w:r>
        <w:rPr>
          <w:bCs/>
          <w:b/>
        </w:rPr>
        <w:t xml:space="preserve">RG-44 — Génération cryptographique</w:t>
      </w:r>
      <w:r>
        <w:t xml:space="preserve"> </w:t>
      </w:r>
      <w:r>
        <w:t xml:space="preserve">(</w:t>
      </w:r>
      <w:r>
        <w:rPr>
          <w:rStyle w:val="VerbatimChar"/>
        </w:rPr>
        <w:t xml:space="preserve">random_int</w:t>
      </w:r>
      <w:r>
        <w:t xml:space="preserve">), jamais un générateur pseudo-aléatoire</w:t>
      </w:r>
      <w:r>
        <w:t xml:space="preserve"> </w:t>
      </w:r>
      <w:r>
        <w:t xml:space="preserve">ordinaire. Un jeton prédictible rend l’ensemble du dispositif inutile.</w:t>
      </w:r>
    </w:p>
    <w:p>
      <w:pPr>
        <w:pStyle w:val="BodyText"/>
      </w:pPr>
      <w:r>
        <w:rPr>
          <w:bCs/>
          <w:b/>
        </w:rPr>
        <w:t xml:space="preserve">RG-45 — La page de vérification est publique, sans JavaScript, rendue par le serveur.</w:t>
      </w:r>
      <w:r>
        <w:t xml:space="preserve"> </w:t>
      </w:r>
      <w:r>
        <w:t xml:space="preserve">Elle</w:t>
      </w:r>
      <w:r>
        <w:t xml:space="preserve"> </w:t>
      </w:r>
      <w:r>
        <w:t xml:space="preserve">est consultée sur des téléphones d’entrée de gamme, en 2G, souvent depuis un scanner QR intégré</w:t>
      </w:r>
      <w:r>
        <w:t xml:space="preserve"> </w:t>
      </w:r>
      <w:r>
        <w:t xml:space="preserve">dont le navigateur est ancien.</w:t>
      </w:r>
    </w:p>
    <w:p>
      <w:pPr>
        <w:pStyle w:val="BodyText"/>
      </w:pPr>
      <w:r>
        <w:rPr>
          <w:bCs/>
          <w:b/>
        </w:rPr>
        <w:t xml:space="preserve">RG-46 — Compteur de scans public.</w:t>
      </w:r>
      <w:r>
        <w:t xml:space="preserve"> </w:t>
      </w:r>
      <w:r>
        <w:t xml:space="preserve">Au-delà d’un seuil (50 par défaut), le verdict devient</w:t>
      </w:r>
      <w:r>
        <w:t xml:space="preserve"> </w:t>
      </w:r>
      <w:r>
        <w:t xml:space="preserve">« étiquette à vérifier » : un code authentique scanné trois cents fois signale une étiquette</w:t>
      </w:r>
      <w:r>
        <w:t xml:space="preserve"> </w:t>
      </w:r>
      <w:r>
        <w:t xml:space="preserve">photocopiée.</w:t>
      </w:r>
    </w:p>
    <w:bookmarkEnd w:id="32"/>
    <w:bookmarkStart w:id="33" w:name="après-vente"/>
    <w:p>
      <w:pPr>
        <w:pStyle w:val="Heading3"/>
      </w:pPr>
      <w:r>
        <w:t xml:space="preserve">2.10 Après-vente</w:t>
      </w:r>
    </w:p>
    <w:p>
      <w:pPr>
        <w:pStyle w:val="FirstParagraph"/>
      </w:pPr>
      <w:r>
        <w:rPr>
          <w:bCs/>
          <w:b/>
        </w:rPr>
        <w:t xml:space="preserve">RG-47</w:t>
      </w:r>
      <w:r>
        <w:t xml:space="preserve"> </w:t>
      </w:r>
      <w:r>
        <w:t xml:space="preserve">— Un avis ne peut être déposé que par un acheteur réel, rattaché à une sous-commande</w:t>
      </w:r>
      <w:r>
        <w:t xml:space="preserve"> </w:t>
      </w:r>
      <w:r>
        <w:t xml:space="preserve">livrée. Modération a posteriori avec file dédiée.</w:t>
      </w:r>
    </w:p>
    <w:p>
      <w:pPr>
        <w:pStyle w:val="BodyText"/>
      </w:pPr>
      <w:r>
        <w:rPr>
          <w:bCs/>
          <w:b/>
        </w:rPr>
        <w:t xml:space="preserve">RG-48 — Un litige ouvert regèle les fonds au séquestre.</w:t>
      </w:r>
      <w:r>
        <w:t xml:space="preserve"> </w:t>
      </w:r>
      <w:r>
        <w:t xml:space="preserve">L’argent cesse d’être acquis au</w:t>
      </w:r>
      <w:r>
        <w:t xml:space="preserve"> </w:t>
      </w:r>
      <w:r>
        <w:t xml:space="preserve">vendeur tant que le litige n’est pas tranché.</w:t>
      </w:r>
    </w:p>
    <w:p>
      <w:pPr>
        <w:pStyle w:val="BodyText"/>
      </w:pPr>
      <w:r>
        <w:rPr>
          <w:bCs/>
          <w:b/>
        </w:rPr>
        <w:t xml:space="preserve">RG-49 — La note de réputation est calculée, jamais déclarée.</w:t>
      </w:r>
      <w:r>
        <w:t xml:space="preserve"> </w:t>
      </w:r>
      <w:r>
        <w:t xml:space="preserve">En dessous de trois commandes</w:t>
      </w:r>
      <w:r>
        <w:t xml:space="preserve"> </w:t>
      </w:r>
      <w:r>
        <w:t xml:space="preserve">traitées, aucune note n’est affichée : une note sur deux ventes ne veut rien dire et pénalise</w:t>
      </w:r>
      <w:r>
        <w:t xml:space="preserve"> </w:t>
      </w:r>
      <w:r>
        <w:t xml:space="preserve">une boutique qui démarre.</w:t>
      </w:r>
      <w:r>
        <w:t xml:space="preserve"> </w:t>
      </w:r>
      <w:r>
        <w:rPr>
          <w:iCs/>
          <w:i/>
        </w:rPr>
        <w:t xml:space="preserve">La formule actuelle est trop sévère et doit être revue — voir § 5.3.</w:t>
      </w:r>
    </w:p>
    <w:bookmarkEnd w:id="33"/>
    <w:bookmarkStart w:id="34" w:name="annuaire-des-professions-réglementées"/>
    <w:p>
      <w:pPr>
        <w:pStyle w:val="Heading3"/>
      </w:pPr>
      <w:r>
        <w:t xml:space="preserve">2.11 Annuaire des professions réglementées</w:t>
      </w:r>
    </w:p>
    <w:p>
      <w:pPr>
        <w:pStyle w:val="FirstParagraph"/>
      </w:pPr>
      <w:r>
        <w:rPr>
          <w:bCs/>
          <w:b/>
        </w:rPr>
        <w:t xml:space="preserve">RG-50</w:t>
      </w:r>
      <w:r>
        <w:t xml:space="preserve"> </w:t>
      </w:r>
      <w:r>
        <w:t xml:space="preserve">— Notaires, avocats, huissiers, tradipraticiens : la plateforme</w:t>
      </w:r>
      <w:r>
        <w:t xml:space="preserve"> </w:t>
      </w:r>
      <w:r>
        <w:rPr>
          <w:bCs/>
          <w:b/>
        </w:rPr>
        <w:t xml:space="preserve">vérifie et met en</w:t>
      </w:r>
      <w:r>
        <w:rPr>
          <w:bCs/>
          <w:b/>
        </w:rPr>
        <w:t xml:space="preserve"> </w:t>
      </w:r>
      <w:r>
        <w:rPr>
          <w:bCs/>
          <w:b/>
        </w:rPr>
        <w:t xml:space="preserve">relation</w:t>
      </w:r>
      <w:r>
        <w:t xml:space="preserve">, elle n’encaisse pas d’honoraires. Un notaire manie des fonds de tiers sur un compte</w:t>
      </w:r>
      <w:r>
        <w:t xml:space="preserve"> </w:t>
      </w:r>
      <w:r>
        <w:t xml:space="preserve">de dépôt dont il répond personnellement devant sa chambre ; une plateforme ne peut pas s’y</w:t>
      </w:r>
      <w:r>
        <w:t xml:space="preserve"> </w:t>
      </w:r>
      <w:r>
        <w:t xml:space="preserve">interposer.</w:t>
      </w:r>
    </w:p>
    <w:bookmarkEnd w:id="34"/>
    <w:bookmarkStart w:id="35" w:name="recherche-et-découverte"/>
    <w:p>
      <w:pPr>
        <w:pStyle w:val="Heading3"/>
      </w:pPr>
      <w:r>
        <w:t xml:space="preserve">2.12 Recherche et découverte</w:t>
      </w:r>
    </w:p>
    <w:p>
      <w:pPr>
        <w:pStyle w:val="FirstParagraph"/>
      </w:pPr>
      <w:r>
        <w:rPr>
          <w:bCs/>
          <w:b/>
        </w:rPr>
        <w:t xml:space="preserve">RG-51 — Les recherches sans résultat sont journalisées et exposées à l’administrateur.</w:t>
      </w:r>
      <w:r>
        <w:t xml:space="preserve"> </w:t>
      </w:r>
      <w:r>
        <w:t xml:space="preserve">Une</w:t>
      </w:r>
      <w:r>
        <w:t xml:space="preserve"> </w:t>
      </w:r>
      <w:r>
        <w:t xml:space="preserve">recherche vide ne produit ni erreur ni réclamation : le client s’en va en pensant que la</w:t>
      </w:r>
      <w:r>
        <w:t xml:space="preserve"> </w:t>
      </w:r>
      <w:r>
        <w:t xml:space="preserve">plateforme est vide. C’est la panne la plus coûteuse d’un catalogue parce qu’elle est</w:t>
      </w:r>
      <w:r>
        <w:t xml:space="preserve"> </w:t>
      </w:r>
      <w:r>
        <w:t xml:space="preserve">silencieuse. Un dictionnaire de synonymes, orthographes et noms commerciaux locaux est</w:t>
      </w:r>
      <w:r>
        <w:t xml:space="preserve"> </w:t>
      </w:r>
      <w:r>
        <w:t xml:space="preserve">alimenté depuis cette file.</w:t>
      </w:r>
    </w:p>
    <w:p>
      <w:pPr>
        <w:pStyle w:val="BodyText"/>
      </w:pPr>
      <w:r>
        <w:rPr>
          <w:bCs/>
          <w:b/>
        </w:rPr>
        <w:t xml:space="preserve">RG-52 — Comparateur entre boutiques.</w:t>
      </w:r>
      <w:r>
        <w:t xml:space="preserve"> </w:t>
      </w:r>
      <w:r>
        <w:t xml:space="preserve">Rapprochement de produits identiques vendus par des</w:t>
      </w:r>
      <w:r>
        <w:t xml:space="preserve"> </w:t>
      </w:r>
      <w:r>
        <w:t xml:space="preserve">boutiques différentes, sur nom normalisé. Volontairement approximatif : imposer un référentiel</w:t>
      </w:r>
      <w:r>
        <w:t xml:space="preserve"> </w:t>
      </w:r>
      <w:r>
        <w:t xml:space="preserve">produit commun serait plus rigoureux, mais des artisans ne le rempliraient jamais correctement.</w:t>
      </w:r>
    </w:p>
    <w:bookmarkEnd w:id="35"/>
    <w:bookmarkStart w:id="36" w:name="espace-vendeur"/>
    <w:p>
      <w:pPr>
        <w:pStyle w:val="Heading3"/>
      </w:pPr>
      <w:r>
        <w:t xml:space="preserve">2.13 Espace vendeur</w:t>
      </w:r>
    </w:p>
    <w:p>
      <w:pPr>
        <w:pStyle w:val="FirstParagraph"/>
      </w:pPr>
      <w:r>
        <w:t xml:space="preserve">Onglets : commandes · caisse comptoir · stock · à écouler · devis et chantiers (prestataires</w:t>
      </w:r>
      <w:r>
        <w:t xml:space="preserve"> </w:t>
      </w:r>
      <w:r>
        <w:t xml:space="preserve">seulement) · mes versements. Un onglet vide est un onglet qu’on finit par cliquer par erreur :</w:t>
      </w:r>
      <w:r>
        <w:t xml:space="preserve"> </w:t>
      </w:r>
      <w:r>
        <w:t xml:space="preserve">l’onglet devis n’apparaît que pour un prestataire.</w:t>
      </w:r>
    </w:p>
    <w:bookmarkEnd w:id="36"/>
    <w:bookmarkStart w:id="37" w:name="console-afrishop"/>
    <w:p>
      <w:pPr>
        <w:pStyle w:val="Heading3"/>
      </w:pPr>
      <w:r>
        <w:t xml:space="preserve">2.14 Console Afrishop</w:t>
      </w:r>
    </w:p>
    <w:p>
      <w:pPr>
        <w:pStyle w:val="FirstParagraph"/>
      </w:pPr>
      <w:r>
        <w:t xml:space="preserve">Indicateurs : en séquestre · à verser · commissions · retenu pour le fisc · ventes au comptoir.</w:t>
      </w:r>
      <w:r>
        <w:t xml:space="preserve"> </w:t>
      </w:r>
      <w:r>
        <w:t xml:space="preserve">Onglets : commandes · grand livre · remises transitaire · devis · autorisations de publication ·</w:t>
      </w:r>
      <w:r>
        <w:t xml:space="preserve"> </w:t>
      </w:r>
      <w:r>
        <w:t xml:space="preserve">litiges · retours · avis à modérer · recherches infructueuses.</w:t>
      </w:r>
    </w:p>
    <w:p>
      <w:pPr>
        <w:pStyle w:val="BodyText"/>
      </w:pPr>
      <w:r>
        <w:rPr>
          <w:bCs/>
          <w:b/>
        </w:rPr>
        <w:t xml:space="preserve">RG-53 — Transparence sur la régie.</w:t>
      </w:r>
      <w:r>
        <w:t xml:space="preserve"> </w:t>
      </w:r>
      <w:r>
        <w:t xml:space="preserve">Si Afrishop vend ses propres produits, la mention</w:t>
      </w:r>
      <w:r>
        <w:t xml:space="preserve"> </w:t>
      </w:r>
      <w:r>
        <w:t xml:space="preserve">« Vendu par Afrishop » remplace la note de réputation, et ces produits sont exclus du</w:t>
      </w:r>
      <w:r>
        <w:t xml:space="preserve"> </w:t>
      </w:r>
      <w:r>
        <w:t xml:space="preserve">comparateur. Afficher des étoiles qu’on s’attribue à soi-même n’aurait aucun sens ; laisser</w:t>
      </w:r>
      <w:r>
        <w:t xml:space="preserve"> </w:t>
      </w:r>
      <w:r>
        <w:t xml:space="preserve">croire au client qu’il compare des vendeurs indépendants alors qu’il en regarde un qui édite la</w:t>
      </w:r>
      <w:r>
        <w:t xml:space="preserve"> </w:t>
      </w:r>
      <w:r>
        <w:t xml:space="preserve">page serait la seule faute véritablement grave du dispositif.</w:t>
      </w:r>
    </w:p>
    <w:bookmarkEnd w:id="37"/>
    <w:bookmarkStart w:id="38" w:name="pied-de-page-et-information-légale"/>
    <w:p>
      <w:pPr>
        <w:pStyle w:val="Heading3"/>
      </w:pPr>
      <w:r>
        <w:t xml:space="preserve">2.15 Pied de page et information légale</w:t>
      </w:r>
    </w:p>
    <w:p>
      <w:pPr>
        <w:pStyle w:val="FirstParagraph"/>
      </w:pPr>
      <w:r>
        <w:t xml:space="preserve">Cinq colonnes — acheter, vendre, aide, mentions Afrishop, identité de la société — plus deux</w:t>
      </w:r>
      <w:r>
        <w:t xml:space="preserve"> </w:t>
      </w:r>
      <w:r>
        <w:t xml:space="preserve">mentions permanentes : le statut d’intermédiaire technique, et</w:t>
      </w:r>
      <w:r>
        <w:t xml:space="preserve"> </w:t>
      </w:r>
      <w:r>
        <w:rPr>
          <w:bCs/>
          <w:b/>
        </w:rPr>
        <w:t xml:space="preserve">l’exclusion du transport</w:t>
      </w:r>
      <w:r>
        <w:rPr>
          <w:bCs/>
          <w:b/>
        </w:rPr>
        <w:t xml:space="preserve"> </w:t>
      </w:r>
      <w:r>
        <w:rPr>
          <w:bCs/>
          <w:b/>
        </w:rPr>
        <w:t xml:space="preserve">international et de la douane</w:t>
      </w:r>
      <w:r>
        <w:t xml:space="preserve">. Cette dernière est la seule mention qui dit au client, avant</w:t>
      </w:r>
      <w:r>
        <w:t xml:space="preserve"> </w:t>
      </w:r>
      <w:r>
        <w:t xml:space="preserve">l’achat, où s’arrête la responsabilité de la plateforme.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besoins-opérationnels"/>
    <w:p>
      <w:pPr>
        <w:pStyle w:val="Heading2"/>
      </w:pPr>
      <w:r>
        <w:t xml:space="preserve">3. Besoins opérationnels</w:t>
      </w:r>
    </w:p>
    <w:bookmarkStart w:id="40" w:name="dimensionnement"/>
    <w:p>
      <w:pPr>
        <w:pStyle w:val="Heading3"/>
      </w:pPr>
      <w:r>
        <w:t xml:space="preserve">3.1 Dimensionnement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Grandeur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an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Hypothèse de 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Boutiques actives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à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produits en moyenne, 2 variantes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Références au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8 000 à 20 000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 de lecture ×20 sur la vitrine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Commandes par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à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 ×5 en fin de mois et périodes de fête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Devis de service ouverts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à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de vie 2 à 14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Codes QR générés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50 000 à 500 000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planches de 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Scans QR par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à 3 000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 imprévisible sur campagne</w:t>
            </w:r>
          </w:p>
        </w:tc>
      </w:tr>
    </w:tbl>
    <w:bookmarkEnd w:id="40"/>
    <w:bookmarkStart w:id="41" w:name="disponibilité-et-fonctionnement-dégradé"/>
    <w:p>
      <w:pPr>
        <w:pStyle w:val="Heading3"/>
      </w:pPr>
      <w:r>
        <w:t xml:space="preserve">3.2 Disponibilité et fonctionnement dégradé</w:t>
      </w:r>
    </w:p>
    <w:p>
      <w:pPr>
        <w:pStyle w:val="FirstParagraph"/>
      </w:pPr>
      <w:r>
        <w:rPr>
          <w:bCs/>
          <w:b/>
        </w:rPr>
        <w:t xml:space="preserve">BO-01 — Le réseau est la contrainte de conception, pas une hypothèse défavorable.</w:t>
      </w:r>
      <w:r>
        <w:t xml:space="preserve"> </w:t>
      </w:r>
      <w:r>
        <w:t xml:space="preserve">Une part</w:t>
      </w:r>
      <w:r>
        <w:t xml:space="preserve"> </w:t>
      </w:r>
      <w:r>
        <w:t xml:space="preserve">importante des utilisateurs est en 2G ou 3G instable, sur téléphones d’entrée de gamme et forfait</w:t>
      </w:r>
      <w:r>
        <w:t xml:space="preserve"> </w:t>
      </w:r>
      <w:r>
        <w:t xml:space="preserve">data compté. Budget : première page utile en moins de 3 secondes sur 2G simulée, page complète</w:t>
      </w:r>
      <w:r>
        <w:t xml:space="preserve"> </w:t>
      </w:r>
      <w:r>
        <w:t xml:space="preserve">sous 300 Ko, images en chargement différé.</w:t>
      </w:r>
    </w:p>
    <w:p>
      <w:pPr>
        <w:pStyle w:val="BodyText"/>
      </w:pPr>
      <w:r>
        <w:rPr>
          <w:bCs/>
          <w:b/>
        </w:rPr>
        <w:t xml:space="preserve">BO-02 — La page de vérification QR fonctionne sans JavaScript.</w:t>
      </w:r>
      <w:r>
        <w:t xml:space="preserve"> </w:t>
      </w:r>
      <w:r>
        <w:t xml:space="preserve">Elle est rendue par le</w:t>
      </w:r>
      <w:r>
        <w:t xml:space="preserve"> </w:t>
      </w:r>
      <w:r>
        <w:t xml:space="preserve">serveur. C’est la seule page dont on peut affirmer qu’elle sera ouverte dans des conditions</w:t>
      </w:r>
      <w:r>
        <w:t xml:space="preserve"> </w:t>
      </w:r>
      <w:r>
        <w:t xml:space="preserve">non maîtrisées.</w:t>
      </w:r>
    </w:p>
    <w:p>
      <w:pPr>
        <w:pStyle w:val="BodyText"/>
      </w:pPr>
      <w:r>
        <w:rPr>
          <w:bCs/>
          <w:b/>
        </w:rPr>
        <w:t xml:space="preserve">BO-03 — Les coupures d’électricité et de réseau sont normales, pas exceptionnelles.</w:t>
      </w:r>
      <w:r>
        <w:t xml:space="preserve"> </w:t>
      </w:r>
      <w:r>
        <w:t xml:space="preserve">La</w:t>
      </w:r>
      <w:r>
        <w:t xml:space="preserve"> </w:t>
      </w:r>
      <w:r>
        <w:t xml:space="preserve">caisse comptoir doit tolérer une perte de connexion pendant un encaissement et se resynchroniser</w:t>
      </w:r>
      <w:r>
        <w:t xml:space="preserve"> </w:t>
      </w:r>
      <w:r>
        <w:t xml:space="preserve">sans doublon.</w:t>
      </w:r>
    </w:p>
    <w:p>
      <w:pPr>
        <w:pStyle w:val="BodyText"/>
      </w:pPr>
      <w:r>
        <w:rPr>
          <w:bCs/>
          <w:b/>
        </w:rPr>
        <w:t xml:space="preserve">BO-04 — Objectifs de service.</w:t>
      </w:r>
      <w:r>
        <w:t xml:space="preserve"> </w:t>
      </w:r>
      <w:r>
        <w:t xml:space="preserve">Disponibilité 99,5 % en heures ouvrées (soit environ 3 h par</w:t>
      </w:r>
      <w:r>
        <w:t xml:space="preserve"> </w:t>
      </w:r>
      <w:r>
        <w:t xml:space="preserve">mois d’indisponibilité tolérée). Le paiement et la page de vérification QR sont les deux</w:t>
      </w:r>
      <w:r>
        <w:t xml:space="preserve"> </w:t>
      </w:r>
      <w:r>
        <w:t xml:space="preserve">fonctions dont l’indisponibilité est immédiatement visible du public.</w:t>
      </w:r>
    </w:p>
    <w:bookmarkEnd w:id="41"/>
    <w:bookmarkStart w:id="42" w:name="sécurité"/>
    <w:p>
      <w:pPr>
        <w:pStyle w:val="Heading3"/>
      </w:pPr>
      <w:r>
        <w:t xml:space="preserve">3.3 Sécurité</w:t>
      </w:r>
    </w:p>
    <w:p>
      <w:pPr>
        <w:pStyle w:val="FirstParagraph"/>
      </w:pPr>
      <w:r>
        <w:rPr>
          <w:bCs/>
          <w:b/>
        </w:rPr>
        <w:t xml:space="preserve">BO-05 — Le suivi de commande exige la référence</w:t>
      </w:r>
      <w:r>
        <w:rPr>
          <w:bCs/>
          <w:b/>
        </w:rPr>
        <w:t xml:space="preserve"> </w:t>
      </w:r>
      <w:r>
        <w:t xml:space="preserve">et** le téléphone.** Les références sont</w:t>
      </w:r>
      <w:r>
        <w:t xml:space="preserve"> </w:t>
      </w:r>
      <w:r>
        <w:t xml:space="preserve">séquentielles donc triviales à énumérer ; sans ce second facteur, n’importe qui lirait l’adresse</w:t>
      </w:r>
      <w:r>
        <w:t xml:space="preserve"> </w:t>
      </w:r>
      <w:r>
        <w:t xml:space="preserve">de livraison d’un inconnu.</w:t>
      </w:r>
    </w:p>
    <w:p>
      <w:pPr>
        <w:pStyle w:val="BodyText"/>
      </w:pPr>
      <w:r>
        <w:rPr>
          <w:bCs/>
          <w:b/>
        </w:rPr>
        <w:t xml:space="preserve">BO-06 — Limitation de débit sur la page de vérification QR.</w:t>
      </w:r>
      <w:r>
        <w:t xml:space="preserve"> </w:t>
      </w:r>
      <w:r>
        <w:t xml:space="preserve">Sans elle, l’espace des jetons</w:t>
      </w:r>
      <w:r>
        <w:t xml:space="preserve"> </w:t>
      </w:r>
      <w:r>
        <w:t xml:space="preserve">peut être balayé. Limite par adresse et par code, avec temporisation croissante.</w:t>
      </w:r>
    </w:p>
    <w:p>
      <w:pPr>
        <w:pStyle w:val="BodyText"/>
      </w:pPr>
      <w:r>
        <w:rPr>
          <w:bCs/>
          <w:b/>
        </w:rPr>
        <w:t xml:space="preserve">BO-07 — Journal d’administration inaltérable.</w:t>
      </w:r>
      <w:r>
        <w:t xml:space="preserve"> </w:t>
      </w:r>
      <w:r>
        <w:t xml:space="preserve">Toute action d’administrateur (validation de</w:t>
      </w:r>
      <w:r>
        <w:t xml:space="preserve"> </w:t>
      </w:r>
      <w:r>
        <w:t xml:space="preserve">boutique, autorisation de publication, arbitrage de litige, ajustement comptable) est écrite</w:t>
      </w:r>
      <w:r>
        <w:t xml:space="preserve"> </w:t>
      </w:r>
      <w:r>
        <w:t xml:space="preserve">avec auteur, horodatage et valeurs avant/après.</w:t>
      </w:r>
    </w:p>
    <w:p>
      <w:pPr>
        <w:pStyle w:val="BodyText"/>
      </w:pPr>
      <w:r>
        <w:rPr>
          <w:bCs/>
          <w:b/>
        </w:rPr>
        <w:t xml:space="preserve">BO-08 — Séparation des rôles vendeur et administrateur.</w:t>
      </w:r>
      <w:r>
        <w:t xml:space="preserve"> </w:t>
      </w:r>
      <w:r>
        <w:t xml:space="preserve">Aucun compte ne cumule les deux.</w:t>
      </w:r>
    </w:p>
    <w:p>
      <w:pPr>
        <w:pStyle w:val="BodyText"/>
      </w:pPr>
      <w:r>
        <w:rPr>
          <w:bCs/>
          <w:b/>
        </w:rPr>
        <w:t xml:space="preserve">BO-09 — Chiffrement en transit obligatoire</w:t>
      </w:r>
      <w:r>
        <w:t xml:space="preserve">, en-têtes de sécurité, protection CSRF, requêtes</w:t>
      </w:r>
      <w:r>
        <w:t xml:space="preserve"> </w:t>
      </w:r>
      <w:r>
        <w:t xml:space="preserve">préparées sans exception.</w:t>
      </w:r>
    </w:p>
    <w:p>
      <w:pPr>
        <w:pStyle w:val="BodyText"/>
      </w:pPr>
      <w:r>
        <w:rPr>
          <w:bCs/>
          <w:b/>
        </w:rPr>
        <w:t xml:space="preserve">BO-10 — Le téléphone comme identifiant présente deux risques connus</w:t>
      </w:r>
      <w:r>
        <w:t xml:space="preserve"> </w:t>
      </w:r>
      <w:r>
        <w:t xml:space="preserve">: recyclage de numéro</w:t>
      </w:r>
      <w:r>
        <w:t xml:space="preserve"> </w:t>
      </w:r>
      <w:r>
        <w:t xml:space="preserve">par l’opérateur et échange de carte SIM. À traiter avant toute fonctionnalité de compte client</w:t>
      </w:r>
      <w:r>
        <w:t xml:space="preserve"> </w:t>
      </w:r>
      <w:r>
        <w:t xml:space="preserve">(voir § 5.1).</w:t>
      </w:r>
    </w:p>
    <w:bookmarkEnd w:id="42"/>
    <w:bookmarkStart w:id="43" w:name="sauvegarde-et-reprise"/>
    <w:p>
      <w:pPr>
        <w:pStyle w:val="Heading3"/>
      </w:pPr>
      <w:r>
        <w:t xml:space="preserve">3.4 Sauvegarde et reprise</w:t>
      </w:r>
    </w:p>
    <w:p>
      <w:pPr>
        <w:pStyle w:val="FirstParagraph"/>
      </w:pPr>
      <w:r>
        <w:rPr>
          <w:bCs/>
          <w:b/>
        </w:rPr>
        <w:t xml:space="preserve">BO-11</w:t>
      </w:r>
      <w:r>
        <w:t xml:space="preserve"> </w:t>
      </w:r>
      <w:r>
        <w:t xml:space="preserve">— Sauvegarde complète quotidienne, journaux binaires en continu. Objectif de point de</w:t>
      </w:r>
      <w:r>
        <w:t xml:space="preserve"> </w:t>
      </w:r>
      <w:r>
        <w:t xml:space="preserve">reprise (RPO) : 15 minutes. Objectif de délai de reprise (RTO) : 4 heures.</w:t>
      </w:r>
    </w:p>
    <w:p>
      <w:pPr>
        <w:pStyle w:val="BodyText"/>
      </w:pPr>
      <w:r>
        <w:rPr>
          <w:bCs/>
          <w:b/>
        </w:rPr>
        <w:t xml:space="preserve">BO-12 — Une sauvegarde non restaurée n’est pas une sauvegarde.</w:t>
      </w:r>
      <w:r>
        <w:t xml:space="preserve"> </w:t>
      </w:r>
      <w:r>
        <w:t xml:space="preserve">Restauration de contrôle</w:t>
      </w:r>
      <w:r>
        <w:t xml:space="preserve"> </w:t>
      </w:r>
      <w:r>
        <w:t xml:space="preserve">mensuelle sur environnement séparé, avec vérification de l’identité comptable du grand livre</w:t>
      </w:r>
      <w:r>
        <w:t xml:space="preserve"> </w:t>
      </w:r>
      <w:r>
        <w:t xml:space="preserve">après restauration.</w:t>
      </w:r>
    </w:p>
    <w:p>
      <w:pPr>
        <w:pStyle w:val="BodyText"/>
      </w:pPr>
      <w:r>
        <w:rPr>
          <w:bCs/>
          <w:b/>
        </w:rPr>
        <w:t xml:space="preserve">BO-13 — Le grand livre et le journal QR sont les deux jeux irremplaçables.</w:t>
      </w:r>
      <w:r>
        <w:t xml:space="preserve"> </w:t>
      </w:r>
      <w:r>
        <w:t xml:space="preserve">Un catalogue se</w:t>
      </w:r>
      <w:r>
        <w:t xml:space="preserve"> </w:t>
      </w:r>
      <w:r>
        <w:t xml:space="preserve">ressaisit ; une comptabilité perdue ne se reconstitue pas.</w:t>
      </w:r>
    </w:p>
    <w:bookmarkEnd w:id="43"/>
    <w:bookmarkStart w:id="44" w:name="exploitation"/>
    <w:p>
      <w:pPr>
        <w:pStyle w:val="Heading3"/>
      </w:pPr>
      <w:r>
        <w:t xml:space="preserve">3.5 Exploitation</w:t>
      </w:r>
    </w:p>
    <w:p>
      <w:pPr>
        <w:pStyle w:val="FirstParagraph"/>
      </w:pPr>
      <w:r>
        <w:rPr>
          <w:bCs/>
          <w:b/>
        </w:rPr>
        <w:t xml:space="preserve">BO-14 — Supervision</w:t>
      </w:r>
      <w:r>
        <w:t xml:space="preserve"> </w:t>
      </w:r>
      <w:r>
        <w:t xml:space="preserve">: disponibilité, temps de réponse, taux d’erreur, profondeur des files</w:t>
      </w:r>
      <w:r>
        <w:t xml:space="preserve"> </w:t>
      </w:r>
      <w:r>
        <w:t xml:space="preserve">(litiges, autorisations, avis à modérer, recherches infructueuses), et</w:t>
      </w:r>
      <w:r>
        <w:t xml:space="preserve"> </w:t>
      </w:r>
      <w:r>
        <w:rPr>
          <w:bCs/>
          <w:b/>
        </w:rPr>
        <w:t xml:space="preserve">exposition financière</w:t>
      </w:r>
      <w:r>
        <w:t xml:space="preserve"> </w:t>
      </w:r>
      <w:r>
        <w:t xml:space="preserve">— somme séquestrée à l’instant t, tous chemins confondus.</w:t>
      </w:r>
    </w:p>
    <w:p>
      <w:pPr>
        <w:pStyle w:val="BodyText"/>
      </w:pPr>
      <w:r>
        <w:rPr>
          <w:bCs/>
          <w:b/>
        </w:rPr>
        <w:t xml:space="preserve">BO-15 — Alerte sur rupture d’identité comptable.</w:t>
      </w:r>
      <w:r>
        <w:t xml:space="preserve"> </w:t>
      </w:r>
      <w:r>
        <w:t xml:space="preserve">Si crédité − débité ≠ dû aux vendeurs,</w:t>
      </w:r>
      <w:r>
        <w:t xml:space="preserve"> </w:t>
      </w:r>
      <w:r>
        <w:t xml:space="preserve">alerte immédiate. Cette égalité est le meilleur détecteur de régression du système.</w:t>
      </w:r>
    </w:p>
    <w:p>
      <w:pPr>
        <w:pStyle w:val="BodyText"/>
      </w:pPr>
      <w:r>
        <w:rPr>
          <w:bCs/>
          <w:b/>
        </w:rPr>
        <w:t xml:space="preserve">BO-16 — Réconciliation quotidienne avec les prestataires de paiement</w:t>
      </w:r>
      <w:r>
        <w:t xml:space="preserve">, avec écarts inexpliqués</w:t>
      </w:r>
      <w:r>
        <w:t xml:space="preserve"> </w:t>
      </w:r>
      <w:r>
        <w:t xml:space="preserve">consignés et non écrasés.</w:t>
      </w:r>
    </w:p>
    <w:p>
      <w:pPr>
        <w:pStyle w:val="BodyText"/>
      </w:pPr>
      <w:r>
        <w:rPr>
          <w:bCs/>
          <w:b/>
        </w:rPr>
        <w:t xml:space="preserve">BO-17 — Cantonnement journalier</w:t>
      </w:r>
      <w:r>
        <w:t xml:space="preserve"> </w:t>
      </w:r>
      <w:r>
        <w:t xml:space="preserve">des fonds détenus pour compte de tiers, séparé de la</w:t>
      </w:r>
      <w:r>
        <w:t xml:space="preserve"> </w:t>
      </w:r>
      <w:r>
        <w:t xml:space="preserve">trésorerie propre.</w:t>
      </w:r>
    </w:p>
    <w:bookmarkEnd w:id="44"/>
    <w:bookmarkStart w:id="45" w:name="coût-dexploitation-par-commande"/>
    <w:p>
      <w:pPr>
        <w:pStyle w:val="Heading3"/>
      </w:pPr>
      <w:r>
        <w:t xml:space="preserve">3.6 Coût d’exploitation par commande</w:t>
      </w:r>
    </w:p>
    <w:p>
      <w:pPr>
        <w:pStyle w:val="FirstParagraph"/>
      </w:pPr>
      <w:r>
        <w:t xml:space="preserve">Point le plus souvent négligé, et le plus dangereux pour l’équilibre du modèle.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Ordre de grandeur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Frais du prestataire de paiement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 à 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prélevés sur l’encaissement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transactionnels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à 40 F l’unité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à 6 SMS par commande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TVA sur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 la commission, pas sur le panier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et arbitrage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concentré sur les litiges</w:t>
            </w:r>
          </w:p>
        </w:tc>
      </w:tr>
    </w:tbl>
    <w:p>
      <w:pPr>
        <w:pStyle w:val="BodyText"/>
      </w:pPr>
      <w:r>
        <w:rPr>
          <w:bCs/>
          <w:b/>
        </w:rPr>
        <w:t xml:space="preserve">BO-18 — Sur un panier de 2 200 F à 10 % de commission, la plateforme perçoit 220 F ; six SMS</w:t>
      </w:r>
      <w:r>
        <w:rPr>
          <w:bCs/>
          <w:b/>
        </w:rPr>
        <w:t xml:space="preserve"> </w:t>
      </w:r>
      <w:r>
        <w:rPr>
          <w:bCs/>
          <w:b/>
        </w:rPr>
        <w:t xml:space="preserve">à 30 F en consomment 180.</w:t>
      </w:r>
      <w:r>
        <w:t xml:space="preserve"> </w:t>
      </w:r>
      <w:r>
        <w:t xml:space="preserve">Le nombre de notifications par commande est donc un paramètre</w:t>
      </w:r>
      <w:r>
        <w:t xml:space="preserve"> </w:t>
      </w:r>
      <w:r>
        <w:t xml:space="preserve">économique, pas un choix ergonomique. Il doit être réglable et mesuré.</w:t>
      </w:r>
    </w:p>
    <w:bookmarkEnd w:id="45"/>
    <w:bookmarkStart w:id="46" w:name="conformité"/>
    <w:p>
      <w:pPr>
        <w:pStyle w:val="Heading3"/>
      </w:pPr>
      <w:r>
        <w:t xml:space="preserve">3.7 Conformité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Monnaie électronique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Plafonds BCEAO (instruction 008-05-2015) : 200 000 F/mois non identifié, 2 000 000 F de solde, 10 000 000 F/mois de 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Paramétré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 de paiement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 001-01-2024, cantonnement (art. 48). Aucune exemption « place de marché » identifiée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Cantonnement implémenté ;</w:t>
            </w:r>
            <w:r>
              <w:t xml:space="preserve"> </w:t>
            </w:r>
            <w:r>
              <w:rPr>
                <w:bCs/>
                <w:b/>
              </w:rPr>
              <w:t xml:space="preserve">agrément à instruire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Détention de fonds de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Plafond de séquestre par jalon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Implémenté, valeur à caler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 financières extérieures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Rapatriement sous 30 jours, cession partielle, compte en devises soumis à autorisation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Évité</w:t>
            </w:r>
            <w:r>
              <w:t xml:space="preserve"> </w:t>
            </w:r>
            <w:r>
              <w:t xml:space="preserve">: encaissement en XOF uniquement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Retenue à la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par pays et par régime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Mentions obligatoires, numérotation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Données personnelles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 des traitements, consentements, demandes d’accès, délai de réponse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Monopole de dispensation, autorisation de mise sur le marché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Évité</w:t>
            </w:r>
            <w:r>
              <w:t xml:space="preserve"> </w:t>
            </w:r>
            <w:r>
              <w:t xml:space="preserve">: MTA référencés, non vendus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 de marché — TVA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l’Union européenne et de nombreux États américains, la plateforme devient redevable à la place du vendeur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instruire avant la première vente hors zone</w:t>
            </w:r>
          </w:p>
        </w:tc>
      </w:tr>
    </w:tbl>
    <w:bookmarkEnd w:id="46"/>
    <w:bookmarkStart w:id="47" w:name="support"/>
    <w:p>
      <w:pPr>
        <w:pStyle w:val="Heading3"/>
      </w:pPr>
      <w:r>
        <w:t xml:space="preserve">3.8 Support</w:t>
      </w:r>
    </w:p>
    <w:p>
      <w:pPr>
        <w:pStyle w:val="FirstParagraph"/>
      </w:pPr>
      <w:r>
        <w:rPr>
          <w:bCs/>
          <w:b/>
        </w:rPr>
        <w:t xml:space="preserve">BO-19 — Le canal de support doit être celui que les vendeurs utilisent déjà</w:t>
      </w:r>
      <w:r>
        <w:t xml:space="preserve">, pas celui qu’on</w:t>
      </w:r>
      <w:r>
        <w:t xml:space="preserve"> </w:t>
      </w:r>
      <w:r>
        <w:t xml:space="preserve">préférerait. Le téléphone et la messagerie instantanée priment sur le courriel.</w:t>
      </w:r>
    </w:p>
    <w:p>
      <w:pPr>
        <w:pStyle w:val="BodyText"/>
      </w:pPr>
      <w:r>
        <w:rPr>
          <w:bCs/>
          <w:b/>
        </w:rPr>
        <w:t xml:space="preserve">BO-20 — Délais cibles</w:t>
      </w:r>
      <w:r>
        <w:t xml:space="preserve"> </w:t>
      </w:r>
      <w:r>
        <w:t xml:space="preserve">: première réponse sous 4 heures ouvrées ; arbitrage d’un litige sous</w:t>
      </w:r>
      <w:r>
        <w:t xml:space="preserve"> </w:t>
      </w:r>
      <w:r>
        <w:t xml:space="preserve">5 jours ouvrés ; autorisation de publication en catégorie réservée sous 3 jours ouvrés. Une file</w:t>
      </w:r>
      <w:r>
        <w:t xml:space="preserve"> </w:t>
      </w:r>
      <w:r>
        <w:t xml:space="preserve">d’autorisation lente pousse les vendeurs à publier ailleurs.</w:t>
      </w:r>
    </w:p>
    <w:bookmarkEnd w:id="47"/>
    <w:bookmarkStart w:id="48" w:name="recette-et-déploiement"/>
    <w:p>
      <w:pPr>
        <w:pStyle w:val="Heading3"/>
      </w:pPr>
      <w:r>
        <w:t xml:space="preserve">3.9 Recette et déploiement</w:t>
      </w:r>
    </w:p>
    <w:p>
      <w:pPr>
        <w:pStyle w:val="FirstParagraph"/>
      </w:pPr>
      <w:r>
        <w:rPr>
          <w:bCs/>
          <w:b/>
        </w:rPr>
        <w:t xml:space="preserve">BO-21 — La recette porte sur les six chemins de vente, systématiquement.</w:t>
      </w:r>
      <w:r>
        <w:t xml:space="preserve"> </w:t>
      </w:r>
      <w:r>
        <w:t xml:space="preserve">Un correctif sur le</w:t>
      </w:r>
      <w:r>
        <w:t xml:space="preserve"> </w:t>
      </w:r>
      <w:r>
        <w:t xml:space="preserve">panier peut casser la caisse comptoir sans que rien ne le signale.</w:t>
      </w:r>
    </w:p>
    <w:p>
      <w:pPr>
        <w:pStyle w:val="BodyText"/>
      </w:pPr>
      <w:r>
        <w:rPr>
          <w:bCs/>
          <w:b/>
        </w:rPr>
        <w:t xml:space="preserve">BO-22 — Les vérifications automatisées existantes</w:t>
      </w:r>
      <w:r>
        <w:t xml:space="preserve"> </w:t>
      </w:r>
      <w:r>
        <w:t xml:space="preserve">: parcours navigateur des six chemins,</w:t>
      </w:r>
      <w:r>
        <w:t xml:space="preserve"> </w:t>
      </w:r>
      <w:r>
        <w:t xml:space="preserve">contrôle de couverture fonctionnelle, continuité du journal de stock, cohérence état des fonds /</w:t>
      </w:r>
      <w:r>
        <w:t xml:space="preserve"> </w:t>
      </w:r>
      <w:r>
        <w:t xml:space="preserve">statut logistique, identité comptable du grand livre.</w:t>
      </w:r>
    </w:p>
    <w:p>
      <w:pPr>
        <w:pStyle w:val="BodyText"/>
      </w:pPr>
      <w:r>
        <w:rPr>
          <w:bCs/>
          <w:b/>
        </w:rPr>
        <w:t xml:space="preserve">BO-23 — Toute migration est réversible</w:t>
      </w:r>
      <w:r>
        <w:t xml:space="preserve">, et testée sur une copie de production avant</w:t>
      </w:r>
      <w:r>
        <w:t xml:space="preserve"> </w:t>
      </w:r>
      <w:r>
        <w:t xml:space="preserve">application.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modélisation"/>
    <w:p>
      <w:pPr>
        <w:pStyle w:val="Heading2"/>
      </w:pPr>
      <w:r>
        <w:t xml:space="preserve">4. Modélisation</w:t>
      </w:r>
    </w:p>
    <w:bookmarkStart w:id="50" w:name="modèle-conceptuel-entités-principales"/>
    <w:p>
      <w:pPr>
        <w:pStyle w:val="Heading3"/>
      </w:pPr>
      <w:r>
        <w:t xml:space="preserve">4.1 Modèle conceptuel — entités principales</w:t>
      </w:r>
    </w:p>
    <w:p>
      <w:pPr>
        <w:pStyle w:val="FirstParagraph"/>
      </w:pPr>
      <w:r>
        <w:t xml:space="preserve">Le schéma compte 73 tables. Les entités structurantes se regroupent en huit ensembles.</w:t>
      </w:r>
    </w:p>
    <w:p>
      <w:pPr>
        <w:pStyle w:val="BodyText"/>
      </w:pPr>
      <w:r>
        <w:rPr>
          <w:bCs/>
          <w:b/>
        </w:rPr>
        <w:t xml:space="preserve">Référentiels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pays</w:t>
      </w:r>
      <w:r>
        <w:t xml:space="preserve">,</w:t>
      </w:r>
      <w:r>
        <w:t xml:space="preserve"> </w:t>
      </w:r>
      <w:r>
        <w:rPr>
          <w:rStyle w:val="VerbatimChar"/>
        </w:rPr>
        <w:t xml:space="preserve">villes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zones_livraison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points_relais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familles_service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operateurs_paiement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transporteurs</w:t>
      </w:r>
      <w:r>
        <w:t xml:space="preserve">,</w:t>
      </w:r>
      <w:r>
        <w:t xml:space="preserve"> </w:t>
      </w:r>
      <w:r>
        <w:rPr>
          <w:rStyle w:val="VerbatimChar"/>
        </w:rPr>
        <w:t xml:space="preserve">taux_taxe</w:t>
      </w:r>
      <w:r>
        <w:t xml:space="preserve">,</w:t>
      </w:r>
      <w:r>
        <w:t xml:space="preserve"> </w:t>
      </w:r>
      <w:r>
        <w:rPr>
          <w:rStyle w:val="VerbatimChar"/>
        </w:rPr>
        <w:t xml:space="preserve">taux_change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parametres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bareme_commission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motifs_liquidation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termes_interdits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traductions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Vendeurs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boutiques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documents_boutique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utilisateurs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professionnels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Catalogue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produits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variantes_produit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attributs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variante_attributs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medias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utilisations_promotion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autorisations_publication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Services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jalons_type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demandes_devis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devis</w:t>
      </w:r>
      <w:r>
        <w:t xml:space="preserve">,</w:t>
      </w:r>
      <w:r>
        <w:t xml:space="preserve"> </w:t>
      </w:r>
      <w:r>
        <w:rPr>
          <w:rStyle w:val="VerbatimChar"/>
        </w:rPr>
        <w:t xml:space="preserve">jalons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Commandes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paniers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lignes_panier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commandes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sous_commandes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lignes_commande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evenements_commande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expeditions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remises_transitaire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demandes_expedition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Argent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transactions_paiement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encaissements_especes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mouvements_compte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reversement_lignes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retenues_source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cantonnement_journalier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reconciliations_psp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prestataires_paiement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Traçabilité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lots_qr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codes_qr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scans_qr</w:t>
      </w:r>
      <w:r>
        <w:t xml:space="preserve">,</w:t>
      </w:r>
      <w:r>
        <w:t xml:space="preserve"> </w:t>
      </w:r>
      <w:r>
        <w:rPr>
          <w:rStyle w:val="VerbatimChar"/>
        </w:rPr>
        <w:t xml:space="preserve">mouvements_stock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Relation client et conformité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avis</w:t>
      </w:r>
      <w:r>
        <w:t xml:space="preserve">,</w:t>
      </w:r>
      <w:r>
        <w:t xml:space="preserve"> </w:t>
      </w:r>
      <w:r>
        <w:rPr>
          <w:rStyle w:val="VerbatimChar"/>
        </w:rPr>
        <w:t xml:space="preserve">litiges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lignes_retour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tickets_support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messages_ticket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gabarits_notification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recherches_infructueuses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termes_recherche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demandes_droits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registre_traitements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journal_acces_donnees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journal_administration</w:t>
      </w:r>
      <w:r>
        <w:t xml:space="preserve">.</w:t>
      </w:r>
    </w:p>
    <w:bookmarkEnd w:id="50"/>
    <w:bookmarkStart w:id="51" w:name="relations-structurantes"/>
    <w:p>
      <w:pPr>
        <w:pStyle w:val="Heading3"/>
      </w:pPr>
      <w:r>
        <w:t xml:space="preserve">4.2 Relations structurantes</w:t>
      </w:r>
    </w:p>
    <w:p>
      <w:pPr>
        <w:pStyle w:val="SourceCode"/>
      </w:pPr>
      <w:r>
        <w:rPr>
          <w:rStyle w:val="VerbatimChar"/>
        </w:rPr>
        <w:t xml:space="preserve">pays ──1,n── boutiques ──1,n── produits ──1,n── variantes_produit</w:t>
      </w:r>
      <w:r>
        <w:br/>
      </w:r>
      <w:r>
        <w:rPr>
          <w:rStyle w:val="VerbatimChar"/>
        </w:rPr>
        <w:t xml:space="preserve">                 │                                      │</w:t>
      </w:r>
      <w:r>
        <w:br/>
      </w:r>
      <w:r>
        <w:rPr>
          <w:rStyle w:val="VerbatimChar"/>
        </w:rPr>
        <w:t xml:space="preserve">                 │                                      ├──0,1── liquidations</w:t>
      </w:r>
      <w:r>
        <w:br/>
      </w:r>
      <w:r>
        <w:rPr>
          <w:rStyle w:val="VerbatimChar"/>
        </w:rPr>
        <w:t xml:space="preserve">                 │                                      └──1,n── lots_qr ──1,n── codes_qr</w:t>
      </w:r>
      <w:r>
        <w:br/>
      </w:r>
      <w:r>
        <w:rPr>
          <w:rStyle w:val="VerbatimChar"/>
        </w:rPr>
        <w:t xml:space="preserve">                 │                                                              └──1,n── scans_qr</w:t>
      </w:r>
      <w:r>
        <w:br/>
      </w:r>
      <w:r>
        <w:rPr>
          <w:rStyle w:val="VerbatimChar"/>
        </w:rPr>
        <w:t xml:space="preserve">                 ├──1,n── services ──1,n── jalons_type</w:t>
      </w:r>
      <w:r>
        <w:br/>
      </w:r>
      <w:r>
        <w:rPr>
          <w:rStyle w:val="VerbatimChar"/>
        </w:rPr>
        <w:t xml:space="preserve">                 │            │</w:t>
      </w:r>
      <w:r>
        <w:br/>
      </w:r>
      <w:r>
        <w:rPr>
          <w:rStyle w:val="VerbatimChar"/>
        </w:rPr>
        <w:t xml:space="preserve">                 │            └──1,n── demandes_devis ──0,1── devis ──1,n── jalons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├──1,n── sous_commandes ──1,n── lignes_commande</w:t>
      </w:r>
      <w:r>
        <w:br/>
      </w:r>
      <w:r>
        <w:rPr>
          <w:rStyle w:val="VerbatimChar"/>
        </w:rPr>
        <w:t xml:space="preserve">                 │              │</w:t>
      </w:r>
      <w:r>
        <w:br/>
      </w:r>
      <w:r>
        <w:rPr>
          <w:rStyle w:val="VerbatimChar"/>
        </w:rPr>
        <w:t xml:space="preserve">                 │              ├──1,n── evenements_commande</w:t>
      </w:r>
      <w:r>
        <w:br/>
      </w:r>
      <w:r>
        <w:rPr>
          <w:rStyle w:val="VerbatimChar"/>
        </w:rPr>
        <w:t xml:space="preserve">                 │              ├──0,1── litiges</w:t>
      </w:r>
      <w:r>
        <w:br/>
      </w:r>
      <w:r>
        <w:rPr>
          <w:rStyle w:val="VerbatimChar"/>
        </w:rPr>
        <w:t xml:space="preserve">                 │              └──0,n── retours ──1,n── lignes_retour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└──1,n── mouvements_compte ──n,1── reversements</w:t>
      </w:r>
      <w:r>
        <w:br/>
      </w:r>
      <w:r>
        <w:br/>
      </w:r>
      <w:r>
        <w:rPr>
          <w:rStyle w:val="VerbatimChar"/>
        </w:rPr>
        <w:t xml:space="preserve">commandes ──1,n── sous_commandes          (l'éclatement : une commande, N boutiques)</w:t>
      </w:r>
      <w:r>
        <w:br/>
      </w:r>
      <w:r>
        <w:rPr>
          <w:rStyle w:val="VerbatimChar"/>
        </w:rPr>
        <w:t xml:space="preserve">categories ──0,n── autorisations_publication ──n,1── produits</w:t>
      </w:r>
    </w:p>
    <w:bookmarkEnd w:id="51"/>
    <w:bookmarkStart w:id="52" w:name="diagrammes-détats"/>
    <w:p>
      <w:pPr>
        <w:pStyle w:val="Heading3"/>
      </w:pPr>
      <w:r>
        <w:t xml:space="preserve">4.3 Diagrammes d’états</w:t>
      </w:r>
    </w:p>
    <w:p>
      <w:pPr>
        <w:pStyle w:val="FirstParagraph"/>
      </w:pPr>
      <w:r>
        <w:rPr>
          <w:bCs/>
          <w:b/>
        </w:rPr>
        <w:t xml:space="preserve">Statut logistique d’une sous-commande</w:t>
      </w:r>
    </w:p>
    <w:p>
      <w:pPr>
        <w:pStyle w:val="SourceCode"/>
      </w:pPr>
      <w:r>
        <w:rPr>
          <w:rStyle w:val="VerbatimChar"/>
        </w:rPr>
        <w:t xml:space="preserve">a_preparer → prete → expediee → livree</w:t>
      </w:r>
      <w:r>
        <w:br/>
      </w:r>
      <w:r>
        <w:rPr>
          <w:rStyle w:val="VerbatimChar"/>
        </w:rPr>
        <w:t xml:space="preserve">     │                              │</w:t>
      </w:r>
      <w:r>
        <w:br/>
      </w:r>
      <w:r>
        <w:rPr>
          <w:rStyle w:val="VerbatimChar"/>
        </w:rPr>
        <w:t xml:space="preserve">     ├──────────→ annulee           └──→ retournee</w:t>
      </w:r>
      <w:r>
        <w:br/>
      </w:r>
      <w:r>
        <w:rPr>
          <w:rStyle w:val="VerbatimChar"/>
        </w:rPr>
        <w:t xml:space="preserve">     └──────────→ comptoir  (vente au comptoir : terminale d'emblée)</w:t>
      </w:r>
    </w:p>
    <w:p>
      <w:pPr>
        <w:pStyle w:val="FirstParagraph"/>
      </w:pPr>
      <w:r>
        <w:rPr>
          <w:bCs/>
          <w:b/>
        </w:rPr>
        <w:t xml:space="preserve">État des fonds</w:t>
      </w:r>
      <w:r>
        <w:t xml:space="preserve"> </w:t>
      </w:r>
      <w:r>
        <w:t xml:space="preserve">(axe indépendant du précédent)</w:t>
      </w:r>
    </w:p>
    <w:p>
      <w:pPr>
        <w:pStyle w:val="SourceCode"/>
      </w:pPr>
      <w:r>
        <w:rPr>
          <w:rStyle w:val="VerbatimChar"/>
        </w:rPr>
        <w:t xml:space="preserve">attente_encaissement → sequestre → reverse → [verse : à créer, § 5.2]</w:t>
      </w:r>
      <w:r>
        <w:br/>
      </w:r>
      <w:r>
        <w:rPr>
          <w:rStyle w:val="VerbatimChar"/>
        </w:rPr>
        <w:t xml:space="preserve">          │                │</w:t>
      </w:r>
      <w:r>
        <w:br/>
      </w:r>
      <w:r>
        <w:rPr>
          <w:rStyle w:val="VerbatimChar"/>
        </w:rPr>
        <w:t xml:space="preserve">          │                └──→ rembourse</w:t>
      </w:r>
      <w:r>
        <w:br/>
      </w:r>
      <w:r>
        <w:rPr>
          <w:rStyle w:val="VerbatimChar"/>
        </w:rPr>
        <w:t xml:space="preserve">          └──→ impaye</w:t>
      </w:r>
      <w:r>
        <w:br/>
      </w:r>
      <w:r>
        <w:br/>
      </w:r>
      <w:r>
        <w:rPr>
          <w:rStyle w:val="VerbatimChar"/>
        </w:rPr>
        <w:t xml:space="preserve">hors_plateforme  (comptoir, transitaire réglé localement, jalon au-dessus du plafond)</w:t>
      </w:r>
    </w:p>
    <w:p>
      <w:pPr>
        <w:pStyle w:val="FirstParagraph"/>
      </w:pPr>
      <w:r>
        <w:rPr>
          <w:bCs/>
          <w:b/>
        </w:rPr>
        <w:t xml:space="preserve">Devis</w:t>
      </w:r>
    </w:p>
    <w:p>
      <w:pPr>
        <w:pStyle w:val="SourceCode"/>
      </w:pPr>
      <w:r>
        <w:rPr>
          <w:rStyle w:val="VerbatimChar"/>
        </w:rPr>
        <w:t xml:space="preserve">demande → chiffre → accepte → receptionne</w:t>
      </w:r>
      <w:r>
        <w:br/>
      </w:r>
      <w:r>
        <w:rPr>
          <w:rStyle w:val="VerbatimChar"/>
        </w:rPr>
        <w:t xml:space="preserve">              │        │</w:t>
      </w:r>
      <w:r>
        <w:br/>
      </w:r>
      <w:r>
        <w:rPr>
          <w:rStyle w:val="VerbatimChar"/>
        </w:rPr>
        <w:t xml:space="preserve">              │        └──(par jalon)── a_venir → finance → declare → valide</w:t>
      </w:r>
      <w:r>
        <w:br/>
      </w:r>
      <w:r>
        <w:rPr>
          <w:rStyle w:val="VerbatimChar"/>
        </w:rPr>
        <w:t xml:space="preserve">              └──→ refuse</w:t>
      </w:r>
    </w:p>
    <w:p>
      <w:pPr>
        <w:pStyle w:val="FirstParagraph"/>
      </w:pPr>
      <w:r>
        <w:rPr>
          <w:bCs/>
          <w:b/>
        </w:rPr>
        <w:t xml:space="preserve">Jalon</w:t>
      </w:r>
      <w:r>
        <w:t xml:space="preserve"> </w:t>
      </w:r>
      <w:r>
        <w:t xml:space="preserve">— la transition</w:t>
      </w:r>
      <w:r>
        <w:t xml:space="preserve"> </w:t>
      </w:r>
      <w:r>
        <w:rPr>
          <w:rStyle w:val="VerbatimChar"/>
        </w:rPr>
        <w:t xml:space="preserve">valide</w:t>
      </w:r>
      <w:r>
        <w:t xml:space="preserve"> </w:t>
      </w:r>
      <w:r>
        <w:t xml:space="preserve">est la seule qui déclenche un versement, et la seule qui</w:t>
      </w:r>
      <w:r>
        <w:t xml:space="preserve"> </w:t>
      </w:r>
      <w:r>
        <w:t xml:space="preserve">appelle la tranche suivante.</w:t>
      </w:r>
    </w:p>
    <w:p>
      <w:pPr>
        <w:pStyle w:val="SourceCode"/>
      </w:pPr>
      <w:r>
        <w:rPr>
          <w:rStyle w:val="VerbatimChar"/>
        </w:rPr>
        <w:t xml:space="preserve">a_venir ──appeler()──→ en_cours ──encaisser()──→ sequestre</w:t>
      </w:r>
      <w:r>
        <w:br/>
      </w:r>
      <w:r>
        <w:rPr>
          <w:rStyle w:val="VerbatimChar"/>
        </w:rPr>
        <w:t xml:space="preserve">                            │                        │</w:t>
      </w:r>
      <w:r>
        <w:br/>
      </w:r>
      <w:r>
        <w:rPr>
          <w:rStyle w:val="VerbatimChar"/>
        </w:rPr>
        <w:t xml:space="preserve">                            │  (au-dessus du         ├──valider()──→ valide → jalon suivant</w:t>
      </w:r>
      <w:r>
        <w:br/>
      </w:r>
      <w:r>
        <w:rPr>
          <w:rStyle w:val="VerbatimChar"/>
        </w:rPr>
        <w:t xml:space="preserve">                            │   plafond)             └──contester()──→ conteste → arbitrage</w:t>
      </w:r>
      <w:r>
        <w:br/>
      </w:r>
      <w:r>
        <w:rPr>
          <w:rStyle w:val="VerbatimChar"/>
        </w:rPr>
        <w:t xml:space="preserve">                            └──→ hors_plateforme ──valider()──→ valide</w:t>
      </w:r>
    </w:p>
    <w:p>
      <w:pPr>
        <w:pStyle w:val="FirstParagraph"/>
      </w:pPr>
      <w:r>
        <w:rPr>
          <w:bCs/>
          <w:b/>
        </w:rPr>
        <w:t xml:space="preserve">Autorisation de publication</w:t>
      </w:r>
    </w:p>
    <w:p>
      <w:pPr>
        <w:pStyle w:val="SourceCode"/>
      </w:pPr>
      <w:r>
        <w:rPr>
          <w:rStyle w:val="VerbatimChar"/>
        </w:rPr>
        <w:t xml:space="preserve">demandee → accordee → (produit visible)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├──→ refusee   (motif obligatoire)</w:t>
      </w:r>
      <w:r>
        <w:br/>
      </w:r>
      <w:r>
        <w:rPr>
          <w:rStyle w:val="VerbatimChar"/>
        </w:rPr>
        <w:t xml:space="preserve">    └──→ suspendue (retire le produit de la vitrine sans le supprimer)</w:t>
      </w:r>
    </w:p>
    <w:bookmarkEnd w:id="52"/>
    <w:bookmarkStart w:id="53" w:name="cas-dutilisation-principaux"/>
    <w:p>
      <w:pPr>
        <w:pStyle w:val="Heading3"/>
      </w:pPr>
      <w:r>
        <w:t xml:space="preserve">4.4 Cas d’utilisation principaux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Commander en 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disponible, lot non périmé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sous-commandes, fonds en séquestre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Payer à la livraison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couverte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 en attente d’encaissement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 un devis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 enregistrée, aucun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Accepter un devis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Devis chiffré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Contrat, jalons créés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Financer un jalon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Jalon appelé, précédent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Séquestre</w:t>
            </w:r>
            <w:r>
              <w:t xml:space="preserve"> </w:t>
            </w:r>
            <w:r>
              <w:rPr>
                <w:bCs/>
                <w:b/>
              </w:rPr>
              <w:t xml:space="preserve">ou</w:t>
            </w:r>
            <w:r>
              <w:t xml:space="preserve"> </w:t>
            </w:r>
            <w:r>
              <w:t xml:space="preserve">règlement direct selon le plafond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Valider un jalon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Jalon déclaré terminé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Versement, tranche suivante appelée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un 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lisible ou jeton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 produit, compteur de scans incrémenté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Encaisser au comptoir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décrémenté,</w:t>
            </w:r>
            <w:r>
              <w:t xml:space="preserve"> </w:t>
            </w:r>
            <w:r>
              <w:rPr>
                <w:bCs/>
                <w:b/>
              </w:rPr>
              <w:t xml:space="preserve">aucune écriture comptable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Mettre un lot en liquidation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proche de péremption ou surstock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effectif modifié, motif et date affichés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Chiffrer un devis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 reçue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Devis émis, jalons calculés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Déclarer un jalon terminé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Jalon financé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attente de validation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Proposer une fiche en catégorie réservée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Boutique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 d’autorisation en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Autoriser une 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 relue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Produit visible en vitrine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Arbitrer un litige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Litige ouvert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 libérés, remboursés ou partagés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Générer une planche de 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défini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codes séquentiels + jetons aléatoires</w:t>
            </w:r>
          </w:p>
        </w:tc>
      </w:tr>
    </w:tbl>
    <w:bookmarkEnd w:id="53"/>
    <w:bookmarkStart w:id="54" w:name="Xf4c7fc2580750e516d429b8a4d91c6aa2c34856"/>
    <w:p>
      <w:pPr>
        <w:pStyle w:val="Heading3"/>
      </w:pPr>
      <w:r>
        <w:t xml:space="preserve">4.5 Vue logique — tables ajoutées en v2.2 à v2.5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d’attention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réduit, motif, 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Motif en table et non en ENUM : un ENUM impose un ALTER TABLE, donc un verrou, à chaque ajout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motifs_liquidation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Référentiel des motifs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 l’indicateur « date obligatoire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Prestation au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Deux modes : prix fixe ou devis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familles_service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 « devis obligatoire » et « mesure sur place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jalons_type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Trame par défaut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devis accepté en fait une</w:t>
            </w:r>
            <w:r>
              <w:t xml:space="preserve"> </w:t>
            </w:r>
            <w:r>
              <w:rPr>
                <w:bCs/>
                <w:b/>
              </w:rPr>
              <w:t xml:space="preserve">copie figée</w:t>
            </w:r>
            <w:r>
              <w:t xml:space="preserve"> </w:t>
            </w:r>
            <w:r>
              <w:t xml:space="preserve">: modifier la trame ne doit pas redécouper un chantier en cours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demandes_devis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demande sans suite est une vente perdue qu’on n’aurait jamais vue sans cette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Chiffrage ferme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Vaut contrat une fois accepté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etat_fonds</w:t>
            </w:r>
            <w:r>
              <w:t xml:space="preserve"> </w:t>
            </w:r>
            <w:r>
              <w:t xml:space="preserve">inclut</w:t>
            </w:r>
            <w:r>
              <w:t xml:space="preserve"> </w:t>
            </w:r>
            <w:r>
              <w:rPr>
                <w:rStyle w:val="VerbatimChar"/>
              </w:rPr>
              <w:t xml:space="preserve">hors_plateforme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autorisations_publication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de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Motif de refus obligatoire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termes_interdits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Garde-fou lexical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Indicatif, assiste le relecteur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professionnels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Annuaire réglementé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encaissement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recherches_infructueuses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Recherches 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panne silencieuse la plus coûteuse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bareme_commission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Barème dégressif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tranches, calculé comme un impôt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v_lots_a_ecouler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Lots sous le seuil et non déjà liquidés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1" w:name="ce-qui-reste-à-décider-ou-à-instruire"/>
    <w:p>
      <w:pPr>
        <w:pStyle w:val="Heading2"/>
      </w:pPr>
      <w:r>
        <w:t xml:space="preserve">5. Ce qui reste à décider ou à instruire</w:t>
      </w:r>
    </w:p>
    <w:bookmarkStart w:id="56" w:name="X6b18f222c7a7e841b9a68ed2ba47936f5b99632"/>
    <w:p>
      <w:pPr>
        <w:pStyle w:val="Heading3"/>
      </w:pPr>
      <w:r>
        <w:t xml:space="preserve">5.1 Absence de compte client — décision de produit</w:t>
      </w:r>
    </w:p>
    <w:p>
      <w:pPr>
        <w:pStyle w:val="FirstParagraph"/>
      </w:pPr>
      <w:r>
        <w:t xml:space="preserve">Le système identifie une commande par référence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téléphone. Il n’y a ni inscription, ni</w:t>
      </w:r>
      <w:r>
        <w:t xml:space="preserve"> </w:t>
      </w:r>
      <w:r>
        <w:t xml:space="preserve">mot de passe, ni historique, ni adresses enregistrées.</w:t>
      </w:r>
    </w:p>
    <w:p>
      <w:pPr>
        <w:pStyle w:val="BodyText"/>
      </w:pPr>
      <w:r>
        <w:t xml:space="preserve">C’est défendable pour un achat ponctuel — et c’est même un avantage à l’inscription, qui est</w:t>
      </w:r>
      <w:r>
        <w:t xml:space="preserve"> </w:t>
      </w:r>
      <w:r>
        <w:t xml:space="preserve">un point de fuite majeur. Mais cela devient intenable pour les services : un chantier dure</w:t>
      </w:r>
      <w:r>
        <w:t xml:space="preserve"> </w:t>
      </w:r>
      <w:r>
        <w:t xml:space="preserve">des mois, comporte plusieurs jalons, et le client devra y revenir dix fois. Un compte devient</w:t>
      </w:r>
      <w:r>
        <w:t xml:space="preserve"> </w:t>
      </w:r>
      <w:r>
        <w:t xml:space="preserve">nécessaire dès que les services montent en charge.</w:t>
      </w:r>
    </w:p>
    <w:p>
      <w:pPr>
        <w:pStyle w:val="BodyText"/>
      </w:pPr>
      <w:r>
        <w:t xml:space="preserve">Deux risques à traiter d’abord : le</w:t>
      </w:r>
      <w:r>
        <w:t xml:space="preserve"> </w:t>
      </w:r>
      <w:r>
        <w:rPr>
          <w:bCs/>
          <w:b/>
        </w:rPr>
        <w:t xml:space="preserve">recyclage de numéro</w:t>
      </w:r>
      <w:r>
        <w:t xml:space="preserve"> </w:t>
      </w:r>
      <w:r>
        <w:t xml:space="preserve">par les opérateurs, et l’</w:t>
      </w:r>
      <w:r>
        <w:rPr>
          <w:bCs/>
          <w:b/>
        </w:rPr>
        <w:t xml:space="preserve">échange</w:t>
      </w:r>
      <w:r>
        <w:rPr>
          <w:bCs/>
          <w:b/>
        </w:rPr>
        <w:t xml:space="preserve"> </w:t>
      </w:r>
      <w:r>
        <w:rPr>
          <w:bCs/>
          <w:b/>
        </w:rPr>
        <w:t xml:space="preserve">de carte SIM</w:t>
      </w:r>
      <w:r>
        <w:t xml:space="preserve">. Un compte adossé au seul numéro de téléphone hérite des deux.</w:t>
      </w:r>
    </w:p>
    <w:bookmarkEnd w:id="56"/>
    <w:bookmarkStart w:id="57" w:name="X6724f3b694beceaaa6b30b690b8e59a8d473074"/>
    <w:p>
      <w:pPr>
        <w:pStyle w:val="Heading3"/>
      </w:pPr>
      <w:r>
        <w:t xml:space="preserve">5.2 État « versé » manquant — anomalie comptable connue</w:t>
      </w:r>
    </w:p>
    <w:p>
      <w:pPr>
        <w:pStyle w:val="FirstParagraph"/>
      </w:pPr>
      <w:r>
        <w:rPr>
          <w:rStyle w:val="VerbatimChar"/>
        </w:rPr>
        <w:t xml:space="preserve">reverse</w:t>
      </w:r>
      <w:r>
        <w:t xml:space="preserve"> </w:t>
      </w:r>
      <w:r>
        <w:t xml:space="preserve">signifie « disponible au prochain virement », donc encore dû. Il manque un sixième</w:t>
      </w:r>
      <w:r>
        <w:t xml:space="preserve"> </w:t>
      </w:r>
      <w:r>
        <w:t xml:space="preserve">état et l’écriture de débit correspondante. Sans eux,</w:t>
      </w:r>
      <w:r>
        <w:t xml:space="preserve"> </w:t>
      </w:r>
      <w:r>
        <w:rPr>
          <w:bCs/>
          <w:b/>
        </w:rPr>
        <w:t xml:space="preserve">le solde dû ne redescend jamais</w:t>
      </w:r>
      <w:r>
        <w:t xml:space="preserve"> </w:t>
      </w:r>
      <w:r>
        <w:t xml:space="preserve">et le</w:t>
      </w:r>
      <w:r>
        <w:t xml:space="preserve"> </w:t>
      </w:r>
      <w:r>
        <w:t xml:space="preserve">grand livre gonfle indéfiniment. À traiter avant le premier cycle de reversement réel.</w:t>
      </w:r>
    </w:p>
    <w:p>
      <w:pPr>
        <w:pStyle w:val="BodyText"/>
      </w:pPr>
      <w:r>
        <w:t xml:space="preserve">Le libellé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(« reversé ») affiché « Disponible » est par ailleurs un contresens de</w:t>
      </w:r>
      <w:r>
        <w:t xml:space="preserve"> </w:t>
      </w:r>
      <w:r>
        <w:t xml:space="preserve">nommage. À renommer des deux côtés d’un seul geste, ou à ne jamais renommer.</w:t>
      </w:r>
    </w:p>
    <w:bookmarkEnd w:id="57"/>
    <w:bookmarkStart w:id="58" w:name="formule-de-réputation-trop-sévère"/>
    <w:p>
      <w:pPr>
        <w:pStyle w:val="Heading3"/>
      </w:pPr>
      <w:r>
        <w:t xml:space="preserve">5.3 Formule de réputation trop sévère</w:t>
      </w:r>
    </w:p>
    <w:p>
      <w:pPr>
        <w:pStyle w:val="FirstParagraph"/>
      </w:pPr>
      <w:r>
        <w:rPr>
          <w:rStyle w:val="VerbatimChar"/>
        </w:rPr>
        <w:t xml:space="preserve">note = 5 − (litiges ÷ traitées) × 8</w:t>
      </w:r>
      <w:r>
        <w:t xml:space="preserve">. Un prestataire avec</w:t>
      </w:r>
      <w:r>
        <w:t xml:space="preserve"> </w:t>
      </w:r>
      <w:r>
        <w:rPr>
          <w:bCs/>
          <w:b/>
        </w:rPr>
        <w:t xml:space="preserve">un</w:t>
      </w:r>
      <w:r>
        <w:t xml:space="preserve"> </w:t>
      </w:r>
      <w:r>
        <w:t xml:space="preserve">litige ouvert sur trois ventes</w:t>
      </w:r>
      <w:r>
        <w:t xml:space="preserve"> </w:t>
      </w:r>
      <w:r>
        <w:t xml:space="preserve">s’affiche</w:t>
      </w:r>
      <w:r>
        <w:t xml:space="preserve"> </w:t>
      </w:r>
      <w:r>
        <w:rPr>
          <w:bCs/>
          <w:b/>
        </w:rPr>
        <w:t xml:space="preserve">2,3 / 5</w:t>
      </w:r>
      <w:r>
        <w:t xml:space="preserve"> </w:t>
      </w:r>
      <w:r>
        <w:t xml:space="preserve">en vitrine. Un artisan qui débute est donc marqué au fer par un seul</w:t>
      </w:r>
      <w:r>
        <w:t xml:space="preserve"> </w:t>
      </w:r>
      <w:r>
        <w:t xml:space="preserve">incident — et un litige</w:t>
      </w:r>
      <w:r>
        <w:t xml:space="preserve"> </w:t>
      </w:r>
      <w:r>
        <w:rPr>
          <w:iCs/>
          <w:i/>
        </w:rPr>
        <w:t xml:space="preserve">ouvert</w:t>
      </w:r>
      <w:r>
        <w:t xml:space="preserve"> </w:t>
      </w:r>
      <w:r>
        <w:t xml:space="preserve">n’est pas un litige</w:t>
      </w:r>
      <w:r>
        <w:t xml:space="preserve"> </w:t>
      </w:r>
      <w:r>
        <w:rPr>
          <w:iCs/>
          <w:i/>
        </w:rPr>
        <w:t xml:space="preserve">fondé</w:t>
      </w:r>
      <w:r>
        <w:t xml:space="preserve">. Deux correctifs possibles :</w:t>
      </w:r>
      <w:r>
        <w:t xml:space="preserve"> </w:t>
      </w:r>
      <w:r>
        <w:t xml:space="preserve">ne compter que les litiges tranchés en défaveur du vendeur, et amortir les petits volumes par</w:t>
      </w:r>
      <w:r>
        <w:t xml:space="preserve"> </w:t>
      </w:r>
      <w:r>
        <w:t xml:space="preserve">un lissage bayésien.</w:t>
      </w:r>
    </w:p>
    <w:bookmarkEnd w:id="58"/>
    <w:bookmarkStart w:id="59" w:name="X4bad2084cae8c5197ebf45ea94b972b391fb522"/>
    <w:p>
      <w:pPr>
        <w:pStyle w:val="Heading3"/>
      </w:pPr>
      <w:r>
        <w:t xml:space="preserve">5.4 Absent du modèle et nécessaire à l’exploitation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entité, aucune affectation, aucune preuve de livraison au-delà du code. On ne sait pas qui a livré quoi.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Frais de livraison réels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Forfait unique de 1 500 F, sans zone, poids ni volume. Une livraison lointaine est vendue à perte.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Comptes multiples par boutique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coopérative de quarante femmes partage un identifiant. Ni traçabilité ni révocation individuelle.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Sort des invendus périmés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lot est retiré de la vente, mais aucun procès-verbal de destruction n’est produit.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Modération des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règle ni file dédiée.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Assurance et qualification des prestataires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document exigé. Référencer « construction de maison R+1 » crée une attente de compétence que rien ne garantit.</w:t>
            </w:r>
          </w:p>
        </w:tc>
      </w:tr>
    </w:tbl>
    <w:bookmarkEnd w:id="59"/>
    <w:bookmarkStart w:id="60" w:name="à-instruire-par-un-professionnel"/>
    <w:p>
      <w:pPr>
        <w:pStyle w:val="Heading3"/>
      </w:pPr>
      <w:r>
        <w:t xml:space="preserve">5.5 À instruire par un professionnel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[JURISTE / BCEAO]</w:t>
      </w:r>
      <w:r>
        <w:t xml:space="preserve"> </w:t>
      </w:r>
      <w:r>
        <w:t xml:space="preserve">Régime d’agrément applicable à l’activité d’encaissement pour compte de</w:t>
      </w:r>
      <w:r>
        <w:t xml:space="preserve"> </w:t>
      </w:r>
      <w:r>
        <w:t xml:space="preserve">tiers, et valeur à retenir pour le plafond de séquestre par jalon.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[FISCALISTE]</w:t>
      </w:r>
      <w:r>
        <w:t xml:space="preserve"> </w:t>
      </w:r>
      <w:r>
        <w:t xml:space="preserve">Redevabilité de la TVA en tant que place de marché dans l’Union européenne et</w:t>
      </w:r>
      <w:r>
        <w:t xml:space="preserve"> </w:t>
      </w:r>
      <w:r>
        <w:t xml:space="preserve">aux États-Unis, avant toute vente hors zone franc.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[PHARMACIEN / ANRP]</w:t>
      </w:r>
      <w:r>
        <w:t xml:space="preserve"> </w:t>
      </w:r>
      <w:r>
        <w:t xml:space="preserve">Périmètre exact du monopole de dispensation et circuit autorisé pour</w:t>
      </w:r>
      <w:r>
        <w:t xml:space="preserve"> </w:t>
      </w:r>
      <w:r>
        <w:t xml:space="preserve">les médicaments traditionnels améliorés, avant toute mise en ligne du rayon.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[JURISTE]</w:t>
      </w:r>
      <w:r>
        <w:t xml:space="preserve"> </w:t>
      </w:r>
      <w:r>
        <w:t xml:space="preserve">Rédaction des conditions générales d’utilisation et de vente, de la politique de</w:t>
      </w:r>
      <w:r>
        <w:t xml:space="preserve"> </w:t>
      </w:r>
      <w:r>
        <w:t xml:space="preserve">retour et des mentions légales — les gabarits du pied de page sont des emplacements, pas des</w:t>
      </w:r>
      <w:r>
        <w:t xml:space="preserve"> </w:t>
      </w:r>
      <w:r>
        <w:t xml:space="preserve">textes opposables.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[ASSUREUR]</w:t>
      </w:r>
      <w:r>
        <w:t xml:space="preserve"> </w:t>
      </w:r>
      <w:r>
        <w:t xml:space="preserve">Couverture de la responsabilité d’intermédiaire, en particulier sur les</w:t>
      </w:r>
      <w:r>
        <w:t xml:space="preserve"> </w:t>
      </w:r>
      <w:r>
        <w:t xml:space="preserve">prestations de construction.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produit à partir du système réellement implémenté : schéma chargé sur MariaDB 10.11,</w:t>
      </w:r>
      <w:r>
        <w:rPr>
          <w:iCs/>
          <w:i/>
        </w:rPr>
        <w:t xml:space="preserve"> </w:t>
      </w:r>
      <w:r>
        <w:rPr>
          <w:iCs/>
          <w:i/>
        </w:rPr>
        <w:t xml:space="preserve">backend vérifié fichier par fichier, maquette parcourue au navigateur. Les chiffres cités sont</w:t>
      </w:r>
      <w:r>
        <w:rPr>
          <w:iCs/>
          <w:i/>
        </w:rPr>
        <w:t xml:space="preserve"> </w:t>
      </w:r>
      <w:r>
        <w:rPr>
          <w:iCs/>
          <w:i/>
        </w:rPr>
        <w:t xml:space="preserve">mesurés, non estimés.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Afrishop ��� Besoins fonctionnels, besoins op��rationnels et mod��lisation</dc:title>
  <dc:creator/>
  <cp:keywords/>
  <dcterms:created xsi:type="dcterms:W3CDTF">2026-08-06T22:19:35Z</dcterms:created>
  <dcterms:modified xsi:type="dcterms:W3CDTF">2026-08-06T22:19:35Z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