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32"/>
        </w:rPr>
        <w:t>Guide Utilisateur — Gestion des Impayés</w:t>
      </w:r>
    </w:p>
    <w:p>
      <w:pPr>
        <w:jc w:val="center"/>
      </w:pPr>
      <w:r>
        <w:rPr>
          <w:i/>
          <w:color w:val="707070"/>
          <w:sz w:val="20"/>
        </w:rPr>
        <w:t>La Communauté — Version 1.0 — Avril 2026</w:t>
      </w:r>
    </w:p>
    <w:p/>
    <w:p>
      <w:r>
        <w:rPr>
          <w:b/>
          <w:color w:val="1F497D"/>
          <w:sz w:val="24"/>
        </w:rPr>
        <w:t>1. Présentation de l'outil</w:t>
      </w:r>
    </w:p>
    <w:p>
      <w:r>
        <w:rPr>
          <w:sz w:val="22"/>
        </w:rPr>
        <w:t>L'application « Gestion des Impayés » est un outil interne mis à disposition du service comptabilité de La Communauté. Elle permet de produire et de mettre à jour un fichier Excel structuré de suivi des impayés à partir d'un export comptable brut. L'interface est accessible via un navigateur web standard, sans installation particulière côté utilisateur. Elle s'exécute localement sur le poste du référent via un lanceur batch (GestionImpayes.bat) disponible sur le partage réseau Z:\DOC\RESPONSABLES DE SECTEUR\KAHINA\Projets\gestion-Impayés\.</w:t>
      </w:r>
    </w:p>
    <w:p>
      <w:r>
        <w:rPr>
          <w:sz w:val="22"/>
        </w:rPr>
        <w:t>Deux modes de traitement sont proposés : la création d'un tout nouveau fichier de suivi à partir d'un premier export comptable, ou l'actualisation d'un fichier existant en conservant les annotations manuelles saisies précédemment par les Responsables de Secteur et la comptabilité.</w:t>
      </w:r>
    </w:p>
    <w:p>
      <w:r>
        <w:rPr>
          <w:b/>
          <w:color w:val="1F497D"/>
          <w:sz w:val="24"/>
        </w:rPr>
        <w:t>2. Lancer l'application</w:t>
      </w:r>
    </w:p>
    <w:p>
      <w:r>
        <w:rPr>
          <w:sz w:val="22"/>
        </w:rPr>
        <w:t>Pour ouvrir l'application, double-cliquez sur le raccourci « GestionImpayes » présent sur votre bureau ou naviguez jusqu'au fichier GestionImpayes.bat sur le partage réseau. Une fenêtre de console Windows s'ouvre brièvement puis l'interface web se charge automatiquement dans votre navigateur par défaut à l'adresse http://localhost:5000.</w:t>
      </w:r>
    </w:p>
    <w:p>
      <w:r>
        <w:rPr>
          <w:sz w:val="22"/>
        </w:rPr>
        <w:t>Si le navigateur ne s'ouvre pas automatiquement, tapez manuellement l'adresse http://localhost:5000 dans la barre d'adresse de votre navigateur (Chrome, Edge, Firefox — tous fonctionnent). Ne fermez pas la fenêtre de console noire tant que vous utilisez l'application : elle fait tourner le serveur. Pour arrêter l'application, fermez simplement cette fenêtre.</w:t>
      </w:r>
    </w:p>
    <w:p>
      <w:r>
        <w:rPr>
          <w:sz w:val="22"/>
        </w:rPr>
        <w:t>Note sécurité Windows : lors du premier lancement, Windows SmartScreen peut afficher un avertissement « Windows a protégé votre ordinateur ». Cliquez sur « Informations complémentaires » puis sur « Exécuter quand même ». Ce message n'apparaît qu'une seule fois par poste.</w:t>
      </w:r>
    </w:p>
    <w:p>
      <w:r>
        <w:rPr>
          <w:b/>
          <w:color w:val="1F497D"/>
          <w:sz w:val="24"/>
        </w:rPr>
        <w:t>3. Mode 1 — Créer un nouveau fichier de suivi</w:t>
      </w:r>
    </w:p>
    <w:p>
      <w:r>
        <w:rPr>
          <w:sz w:val="22"/>
        </w:rPr>
        <w:t>Ce mode est utilisé lorsqu'aucun fichier de suivi n'existe encore pour la période en cours. Il génère un fichier Excel vierge (colonnes manuelles à compléter) à partir de l'export comptable.</w:t>
      </w:r>
    </w:p>
    <w:p>
      <w:r>
        <w:rPr>
          <w:sz w:val="22"/>
        </w:rPr>
        <w:t>Étapes à suivre :</w:t>
      </w:r>
    </w:p>
    <w:p>
      <w:pPr>
        <w:pStyle w:val="ListBullet"/>
      </w:pPr>
      <w:r>
        <w:rPr>
          <w:sz w:val="22"/>
        </w:rPr>
        <w:t>Sur la page d'accueil, sélectionnez « Créer un nouveau fichier ».</w:t>
      </w:r>
    </w:p>
    <w:p>
      <w:pPr>
        <w:pStyle w:val="ListBullet"/>
      </w:pPr>
      <w:r>
        <w:rPr>
          <w:sz w:val="22"/>
        </w:rPr>
        <w:t>Cliquez sur « Choisir le fichier » dans la zone « Export comptable » et sélectionnez votre fichier CSV ou Excel issu du logiciel comptable (format standard 6 colonnes ou format Arche 10 colonnes — les deux sont acceptés).</w:t>
      </w:r>
    </w:p>
    <w:p>
      <w:pPr>
        <w:pStyle w:val="ListBullet"/>
      </w:pPr>
      <w:r>
        <w:rPr>
          <w:sz w:val="22"/>
        </w:rPr>
        <w:t>(Optionnel) Chargez un fichier de comptes clôturés au format Excel si vous souhaitez que les comptes fermés soient identifiés automatiquement dans la colonne « Compte clôturé ? ».</w:t>
      </w:r>
    </w:p>
    <w:p>
      <w:pPr>
        <w:pStyle w:val="ListBullet"/>
      </w:pPr>
      <w:r>
        <w:rPr>
          <w:sz w:val="22"/>
        </w:rPr>
        <w:t>Cliquez sur « Générer le fichier ».</w:t>
      </w:r>
    </w:p>
    <w:p>
      <w:pPr>
        <w:pStyle w:val="ListBullet"/>
      </w:pPr>
      <w:r>
        <w:rPr>
          <w:sz w:val="22"/>
        </w:rPr>
        <w:t>Une fois le traitement terminé (quelques secondes), un bouton « Télécharger » apparaît. Cliquez dessus pour enregistrer le fichier Excel sur votre poste.</w:t>
      </w:r>
    </w:p>
    <w:p>
      <w:r>
        <w:rPr>
          <w:sz w:val="22"/>
        </w:rPr>
        <w:t>Le fichier téléchargé est nommé automatiquement avec la date du jour : Suivi_Impayes_AAAA-MM-JJ.xlsx. Enregistrez-le dans votre répertoire de travail habituel.</w:t>
      </w:r>
    </w:p>
    <w:p>
      <w:r>
        <w:rPr>
          <w:b/>
          <w:color w:val="1F497D"/>
          <w:sz w:val="24"/>
        </w:rPr>
        <w:t>4. Mode 2 — Actualiser un fichier existant</w:t>
      </w:r>
    </w:p>
    <w:p>
      <w:r>
        <w:rPr>
          <w:sz w:val="22"/>
        </w:rPr>
        <w:t>Ce mode est utilisé pour mettre à jour un fichier de suivi déjà constitué en y intégrant de nouvelles données comptables tout en conservant les annotations manuelles (commentaires RS, commentaires compta, informations sur le contact, etc.).</w:t>
      </w:r>
    </w:p>
    <w:p>
      <w:r>
        <w:rPr>
          <w:sz w:val="22"/>
        </w:rPr>
        <w:t>Étapes à suivre :</w:t>
      </w:r>
    </w:p>
    <w:p>
      <w:pPr>
        <w:pStyle w:val="ListBullet"/>
      </w:pPr>
      <w:r>
        <w:rPr>
          <w:sz w:val="22"/>
        </w:rPr>
        <w:t>Sélectionnez « Actualiser un fichier existant ».</w:t>
      </w:r>
    </w:p>
    <w:p>
      <w:pPr>
        <w:pStyle w:val="ListBullet"/>
      </w:pPr>
      <w:r>
        <w:rPr>
          <w:sz w:val="22"/>
        </w:rPr>
        <w:t>Chargez le fichier Excel existant (Suivi_Impayes_AAAA-MM-JJ.xlsx).</w:t>
      </w:r>
    </w:p>
    <w:p>
      <w:pPr>
        <w:pStyle w:val="ListBullet"/>
      </w:pPr>
      <w:r>
        <w:rPr>
          <w:sz w:val="22"/>
        </w:rPr>
        <w:t>Chargez le nouvel export comptable (CSV ou Excel).</w:t>
      </w:r>
    </w:p>
    <w:p>
      <w:pPr>
        <w:pStyle w:val="ListBullet"/>
      </w:pPr>
      <w:r>
        <w:rPr>
          <w:sz w:val="22"/>
        </w:rPr>
        <w:t>Cliquez sur « Actualiser ».</w:t>
      </w:r>
    </w:p>
    <w:p>
      <w:pPr>
        <w:pStyle w:val="ListBullet"/>
      </w:pPr>
      <w:r>
        <w:rPr>
          <w:sz w:val="22"/>
        </w:rPr>
        <w:t>Téléchargez le fichier mis à jour.</w:t>
      </w:r>
    </w:p>
    <w:p>
      <w:r>
        <w:rPr>
          <w:sz w:val="22"/>
        </w:rPr>
        <w:t>La fusion s'effectue sur la clé « Compte Tiers » : pour chaque compte présent dans le nouvel export, les annotations manuelles saisies précédemment sont automatiquement reportées. La colonne « Évolution » compare l'ancien solde au nouveau et affiche la variation. L'ancien fichier est archivé automatiquement côté serveur avec un horodatage.</w:t>
      </w:r>
    </w:p>
    <w:p>
      <w:r>
        <w:rPr>
          <w:b/>
          <w:color w:val="1F497D"/>
          <w:sz w:val="24"/>
        </w:rPr>
        <w:t>5. Structure du fichier Excel généré</w:t>
      </w:r>
    </w:p>
    <w:p>
      <w:r>
        <w:rPr>
          <w:sz w:val="22"/>
        </w:rPr>
        <w:t>Le fichier produit comporte 14 colonnes organisées en deux catégories :</w:t>
      </w:r>
    </w:p>
    <w:tbl>
      <w:tblPr>
        <w:tblStyle w:val="TableGrid"/>
        <w:tblW w:type="auto" w:w="0"/>
        <w:tblLook w:firstColumn="1" w:firstRow="1" w:lastColumn="0" w:lastRow="0" w:noHBand="0" w:noVBand="1" w:val="04A0"/>
      </w:tblPr>
      <w:tblGrid>
        <w:gridCol w:w="2280"/>
        <w:gridCol w:w="2280"/>
        <w:gridCol w:w="2280"/>
        <w:gridCol w:w="2280"/>
      </w:tblGrid>
      <w:tr>
        <w:tc>
          <w:tcPr>
            <w:tcW w:type="dxa" w:w="2280"/>
            <w:shd w:val="clear" w:color="auto" w:fill="D6E4F0"/>
          </w:tcPr>
          <w:p>
            <w:r>
              <w:rPr>
                <w:b/>
                <w:sz w:val="22"/>
              </w:rPr>
              <w:t>#</w:t>
            </w:r>
          </w:p>
        </w:tc>
        <w:tc>
          <w:tcPr>
            <w:tcW w:type="dxa" w:w="2280"/>
            <w:shd w:val="clear" w:color="auto" w:fill="D6E4F0"/>
          </w:tcPr>
          <w:p>
            <w:r>
              <w:rPr>
                <w:b/>
                <w:sz w:val="22"/>
              </w:rPr>
              <w:t>Nom de la colonne</w:t>
            </w:r>
          </w:p>
        </w:tc>
        <w:tc>
          <w:tcPr>
            <w:tcW w:type="dxa" w:w="2280"/>
            <w:shd w:val="clear" w:color="auto" w:fill="D6E4F0"/>
          </w:tcPr>
          <w:p>
            <w:r>
              <w:rPr>
                <w:b/>
                <w:sz w:val="22"/>
              </w:rPr>
              <w:t>Type</w:t>
            </w:r>
          </w:p>
        </w:tc>
        <w:tc>
          <w:tcPr>
            <w:tcW w:type="dxa" w:w="2280"/>
            <w:shd w:val="clear" w:color="auto" w:fill="D6E4F0"/>
          </w:tcPr>
          <w:p>
            <w:r>
              <w:rPr>
                <w:b/>
                <w:sz w:val="22"/>
              </w:rPr>
              <w:t>Description</w:t>
            </w:r>
          </w:p>
        </w:tc>
      </w:tr>
      <w:tr>
        <w:tc>
          <w:tcPr>
            <w:tcW w:type="dxa" w:w="2280"/>
          </w:tcPr>
          <w:p>
            <w:r>
              <w:rPr>
                <w:sz w:val="20"/>
              </w:rPr>
              <w:t>1</w:t>
            </w:r>
          </w:p>
        </w:tc>
        <w:tc>
          <w:tcPr>
            <w:tcW w:type="dxa" w:w="2280"/>
          </w:tcPr>
          <w:p>
            <w:r>
              <w:rPr>
                <w:sz w:val="20"/>
              </w:rPr>
              <w:t>Clients</w:t>
            </w:r>
          </w:p>
        </w:tc>
        <w:tc>
          <w:tcPr>
            <w:tcW w:type="dxa" w:w="2280"/>
          </w:tcPr>
          <w:p>
            <w:r>
              <w:rPr>
                <w:sz w:val="20"/>
              </w:rPr>
              <w:t>Automatique</w:t>
            </w:r>
          </w:p>
        </w:tc>
        <w:tc>
          <w:tcPr>
            <w:tcW w:type="dxa" w:w="2280"/>
          </w:tcPr>
          <w:p>
            <w:r>
              <w:rPr>
                <w:sz w:val="20"/>
              </w:rPr>
              <w:t>Nom du client issu de l'export comptable</w:t>
            </w:r>
          </w:p>
        </w:tc>
      </w:tr>
      <w:tr>
        <w:tc>
          <w:tcPr>
            <w:tcW w:type="dxa" w:w="2280"/>
          </w:tcPr>
          <w:p>
            <w:r>
              <w:rPr>
                <w:sz w:val="20"/>
              </w:rPr>
              <w:t>2</w:t>
            </w:r>
          </w:p>
        </w:tc>
        <w:tc>
          <w:tcPr>
            <w:tcW w:type="dxa" w:w="2280"/>
          </w:tcPr>
          <w:p>
            <w:r>
              <w:rPr>
                <w:sz w:val="20"/>
              </w:rPr>
              <w:t>Ville</w:t>
            </w:r>
          </w:p>
        </w:tc>
        <w:tc>
          <w:tcPr>
            <w:tcW w:type="dxa" w:w="2280"/>
          </w:tcPr>
          <w:p>
            <w:r>
              <w:rPr>
                <w:sz w:val="20"/>
              </w:rPr>
              <w:t>Automatique</w:t>
            </w:r>
          </w:p>
        </w:tc>
        <w:tc>
          <w:tcPr>
            <w:tcW w:type="dxa" w:w="2280"/>
          </w:tcPr>
          <w:p>
            <w:r>
              <w:rPr>
                <w:sz w:val="20"/>
              </w:rPr>
              <w:t>Ville du client</w:t>
            </w:r>
          </w:p>
        </w:tc>
      </w:tr>
      <w:tr>
        <w:tc>
          <w:tcPr>
            <w:tcW w:type="dxa" w:w="2280"/>
          </w:tcPr>
          <w:p>
            <w:r>
              <w:rPr>
                <w:sz w:val="20"/>
              </w:rPr>
              <w:t>3</w:t>
            </w:r>
          </w:p>
        </w:tc>
        <w:tc>
          <w:tcPr>
            <w:tcW w:type="dxa" w:w="2280"/>
          </w:tcPr>
          <w:p>
            <w:r>
              <w:rPr>
                <w:sz w:val="20"/>
              </w:rPr>
              <w:t>Secteur</w:t>
            </w:r>
          </w:p>
        </w:tc>
        <w:tc>
          <w:tcPr>
            <w:tcW w:type="dxa" w:w="2280"/>
          </w:tcPr>
          <w:p>
            <w:r>
              <w:rPr>
                <w:sz w:val="20"/>
              </w:rPr>
              <w:t>Automatique</w:t>
            </w:r>
          </w:p>
        </w:tc>
        <w:tc>
          <w:tcPr>
            <w:tcW w:type="dxa" w:w="2280"/>
          </w:tcPr>
          <w:p>
            <w:r>
              <w:rPr>
                <w:sz w:val="20"/>
              </w:rPr>
              <w:t>Secteur géographique ou d'activité</w:t>
            </w:r>
          </w:p>
        </w:tc>
      </w:tr>
      <w:tr>
        <w:tc>
          <w:tcPr>
            <w:tcW w:type="dxa" w:w="2280"/>
          </w:tcPr>
          <w:p>
            <w:r>
              <w:rPr>
                <w:sz w:val="20"/>
              </w:rPr>
              <w:t>4</w:t>
            </w:r>
          </w:p>
        </w:tc>
        <w:tc>
          <w:tcPr>
            <w:tcW w:type="dxa" w:w="2280"/>
          </w:tcPr>
          <w:p>
            <w:r>
              <w:rPr>
                <w:sz w:val="20"/>
              </w:rPr>
              <w:t>Compte Tiers</w:t>
            </w:r>
          </w:p>
        </w:tc>
        <w:tc>
          <w:tcPr>
            <w:tcW w:type="dxa" w:w="2280"/>
          </w:tcPr>
          <w:p>
            <w:r>
              <w:rPr>
                <w:sz w:val="20"/>
              </w:rPr>
              <w:t>Automatique (clé)</w:t>
            </w:r>
          </w:p>
        </w:tc>
        <w:tc>
          <w:tcPr>
            <w:tcW w:type="dxa" w:w="2280"/>
          </w:tcPr>
          <w:p>
            <w:r>
              <w:rPr>
                <w:sz w:val="20"/>
              </w:rPr>
              <w:t>Identifiant unique du compte — clé de fusion</w:t>
            </w:r>
          </w:p>
        </w:tc>
      </w:tr>
      <w:tr>
        <w:tc>
          <w:tcPr>
            <w:tcW w:type="dxa" w:w="2280"/>
          </w:tcPr>
          <w:p>
            <w:r>
              <w:rPr>
                <w:sz w:val="20"/>
              </w:rPr>
              <w:t>5</w:t>
            </w:r>
          </w:p>
        </w:tc>
        <w:tc>
          <w:tcPr>
            <w:tcW w:type="dxa" w:w="2280"/>
          </w:tcPr>
          <w:p>
            <w:r>
              <w:rPr>
                <w:sz w:val="20"/>
              </w:rPr>
              <w:t>Solde AU</w:t>
            </w:r>
          </w:p>
        </w:tc>
        <w:tc>
          <w:tcPr>
            <w:tcW w:type="dxa" w:w="2280"/>
          </w:tcPr>
          <w:p>
            <w:r>
              <w:rPr>
                <w:sz w:val="20"/>
              </w:rPr>
              <w:t>Automatique</w:t>
            </w:r>
          </w:p>
        </w:tc>
        <w:tc>
          <w:tcPr>
            <w:tcW w:type="dxa" w:w="2280"/>
          </w:tcPr>
          <w:p>
            <w:r>
              <w:rPr>
                <w:sz w:val="20"/>
              </w:rPr>
              <w:t>Solde impayé issu de l'export comptable</w:t>
            </w:r>
          </w:p>
        </w:tc>
      </w:tr>
      <w:tr>
        <w:tc>
          <w:tcPr>
            <w:tcW w:type="dxa" w:w="2280"/>
          </w:tcPr>
          <w:p>
            <w:r>
              <w:rPr>
                <w:sz w:val="20"/>
              </w:rPr>
              <w:t>6</w:t>
            </w:r>
          </w:p>
        </w:tc>
        <w:tc>
          <w:tcPr>
            <w:tcW w:type="dxa" w:w="2280"/>
          </w:tcPr>
          <w:p>
            <w:r>
              <w:rPr>
                <w:sz w:val="20"/>
              </w:rPr>
              <w:t>Nb factures non réglées</w:t>
            </w:r>
          </w:p>
        </w:tc>
        <w:tc>
          <w:tcPr>
            <w:tcW w:type="dxa" w:w="2280"/>
          </w:tcPr>
          <w:p>
            <w:r>
              <w:rPr>
                <w:sz w:val="20"/>
              </w:rPr>
              <w:t>Automatique</w:t>
            </w:r>
          </w:p>
        </w:tc>
        <w:tc>
          <w:tcPr>
            <w:tcW w:type="dxa" w:w="2280"/>
          </w:tcPr>
          <w:p>
            <w:r>
              <w:rPr>
                <w:sz w:val="20"/>
              </w:rPr>
              <w:t>Nombre de factures en souffrance</w:t>
            </w:r>
          </w:p>
        </w:tc>
      </w:tr>
      <w:tr>
        <w:tc>
          <w:tcPr>
            <w:tcW w:type="dxa" w:w="2280"/>
          </w:tcPr>
          <w:p>
            <w:r>
              <w:rPr>
                <w:sz w:val="20"/>
              </w:rPr>
              <w:t>7</w:t>
            </w:r>
          </w:p>
        </w:tc>
        <w:tc>
          <w:tcPr>
            <w:tcW w:type="dxa" w:w="2280"/>
          </w:tcPr>
          <w:p>
            <w:r>
              <w:rPr>
                <w:sz w:val="20"/>
              </w:rPr>
              <w:t>Le client a-t-il de la famille ?</w:t>
            </w:r>
          </w:p>
        </w:tc>
        <w:tc>
          <w:tcPr>
            <w:tcW w:type="dxa" w:w="2280"/>
          </w:tcPr>
          <w:p>
            <w:r>
              <w:rPr>
                <w:sz w:val="20"/>
              </w:rPr>
              <w:t>Manuelle</w:t>
            </w:r>
          </w:p>
        </w:tc>
        <w:tc>
          <w:tcPr>
            <w:tcW w:type="dxa" w:w="2280"/>
          </w:tcPr>
          <w:p>
            <w:r>
              <w:rPr>
                <w:sz w:val="20"/>
              </w:rPr>
              <w:t>À renseigner par le RS</w:t>
            </w:r>
          </w:p>
        </w:tc>
      </w:tr>
      <w:tr>
        <w:tc>
          <w:tcPr>
            <w:tcW w:type="dxa" w:w="2280"/>
          </w:tcPr>
          <w:p>
            <w:r>
              <w:rPr>
                <w:sz w:val="20"/>
              </w:rPr>
              <w:t>8</w:t>
            </w:r>
          </w:p>
        </w:tc>
        <w:tc>
          <w:tcPr>
            <w:tcW w:type="dxa" w:w="2280"/>
          </w:tcPr>
          <w:p>
            <w:r>
              <w:rPr>
                <w:sz w:val="20"/>
              </w:rPr>
              <w:t>Contacter famille ou client ?</w:t>
            </w:r>
          </w:p>
        </w:tc>
        <w:tc>
          <w:tcPr>
            <w:tcW w:type="dxa" w:w="2280"/>
          </w:tcPr>
          <w:p>
            <w:r>
              <w:rPr>
                <w:sz w:val="20"/>
              </w:rPr>
              <w:t>Manuelle</w:t>
            </w:r>
          </w:p>
        </w:tc>
        <w:tc>
          <w:tcPr>
            <w:tcW w:type="dxa" w:w="2280"/>
          </w:tcPr>
          <w:p>
            <w:r>
              <w:rPr>
                <w:sz w:val="20"/>
              </w:rPr>
              <w:t>À renseigner par le RS</w:t>
            </w:r>
          </w:p>
        </w:tc>
      </w:tr>
      <w:tr>
        <w:tc>
          <w:tcPr>
            <w:tcW w:type="dxa" w:w="2280"/>
          </w:tcPr>
          <w:p>
            <w:r>
              <w:rPr>
                <w:sz w:val="20"/>
              </w:rPr>
              <w:t>9</w:t>
            </w:r>
          </w:p>
        </w:tc>
        <w:tc>
          <w:tcPr>
            <w:tcW w:type="dxa" w:w="2280"/>
          </w:tcPr>
          <w:p>
            <w:r>
              <w:rPr>
                <w:sz w:val="20"/>
              </w:rPr>
              <w:t>Qui contacter ?</w:t>
            </w:r>
          </w:p>
        </w:tc>
        <w:tc>
          <w:tcPr>
            <w:tcW w:type="dxa" w:w="2280"/>
          </w:tcPr>
          <w:p>
            <w:r>
              <w:rPr>
                <w:sz w:val="20"/>
              </w:rPr>
              <w:t>Manuelle</w:t>
            </w:r>
          </w:p>
        </w:tc>
        <w:tc>
          <w:tcPr>
            <w:tcW w:type="dxa" w:w="2280"/>
          </w:tcPr>
          <w:p>
            <w:r>
              <w:rPr>
                <w:sz w:val="20"/>
              </w:rPr>
              <w:t>Coordonnées ou nom du contact</w:t>
            </w:r>
          </w:p>
        </w:tc>
      </w:tr>
      <w:tr>
        <w:tc>
          <w:tcPr>
            <w:tcW w:type="dxa" w:w="2280"/>
          </w:tcPr>
          <w:p>
            <w:r>
              <w:rPr>
                <w:sz w:val="20"/>
              </w:rPr>
              <w:t>10</w:t>
            </w:r>
          </w:p>
        </w:tc>
        <w:tc>
          <w:tcPr>
            <w:tcW w:type="dxa" w:w="2280"/>
          </w:tcPr>
          <w:p>
            <w:r>
              <w:rPr>
                <w:sz w:val="20"/>
              </w:rPr>
              <w:t>Capacité de compréhension ?</w:t>
            </w:r>
          </w:p>
        </w:tc>
        <w:tc>
          <w:tcPr>
            <w:tcW w:type="dxa" w:w="2280"/>
          </w:tcPr>
          <w:p>
            <w:r>
              <w:rPr>
                <w:sz w:val="20"/>
              </w:rPr>
              <w:t>Manuelle</w:t>
            </w:r>
          </w:p>
        </w:tc>
        <w:tc>
          <w:tcPr>
            <w:tcW w:type="dxa" w:w="2280"/>
          </w:tcPr>
          <w:p>
            <w:r>
              <w:rPr>
                <w:sz w:val="20"/>
              </w:rPr>
              <w:t>Appréciation du RS</w:t>
            </w:r>
          </w:p>
        </w:tc>
      </w:tr>
      <w:tr>
        <w:tc>
          <w:tcPr>
            <w:tcW w:type="dxa" w:w="2280"/>
          </w:tcPr>
          <w:p>
            <w:r>
              <w:rPr>
                <w:sz w:val="20"/>
              </w:rPr>
              <w:t>11</w:t>
            </w:r>
          </w:p>
        </w:tc>
        <w:tc>
          <w:tcPr>
            <w:tcW w:type="dxa" w:w="2280"/>
          </w:tcPr>
          <w:p>
            <w:r>
              <w:rPr>
                <w:sz w:val="20"/>
              </w:rPr>
              <w:t>Évolution</w:t>
            </w:r>
          </w:p>
        </w:tc>
        <w:tc>
          <w:tcPr>
            <w:tcW w:type="dxa" w:w="2280"/>
          </w:tcPr>
          <w:p>
            <w:r>
              <w:rPr>
                <w:sz w:val="20"/>
              </w:rPr>
              <w:t>Automatique</w:t>
            </w:r>
          </w:p>
        </w:tc>
        <w:tc>
          <w:tcPr>
            <w:tcW w:type="dxa" w:w="2280"/>
          </w:tcPr>
          <w:p>
            <w:r>
              <w:rPr>
                <w:sz w:val="20"/>
              </w:rPr>
              <w:t>Variation du solde vs actualisation précédente</w:t>
            </w:r>
          </w:p>
        </w:tc>
      </w:tr>
      <w:tr>
        <w:tc>
          <w:tcPr>
            <w:tcW w:type="dxa" w:w="2280"/>
          </w:tcPr>
          <w:p>
            <w:r>
              <w:rPr>
                <w:sz w:val="20"/>
              </w:rPr>
              <w:t>12</w:t>
            </w:r>
          </w:p>
        </w:tc>
        <w:tc>
          <w:tcPr>
            <w:tcW w:type="dxa" w:w="2280"/>
          </w:tcPr>
          <w:p>
            <w:r>
              <w:rPr>
                <w:sz w:val="20"/>
              </w:rPr>
              <w:t>Compte clôturé ?</w:t>
            </w:r>
          </w:p>
        </w:tc>
        <w:tc>
          <w:tcPr>
            <w:tcW w:type="dxa" w:w="2280"/>
          </w:tcPr>
          <w:p>
            <w:r>
              <w:rPr>
                <w:sz w:val="20"/>
              </w:rPr>
              <w:t>Automatique</w:t>
            </w:r>
          </w:p>
        </w:tc>
        <w:tc>
          <w:tcPr>
            <w:tcW w:type="dxa" w:w="2280"/>
          </w:tcPr>
          <w:p>
            <w:r>
              <w:rPr>
                <w:sz w:val="20"/>
              </w:rPr>
              <w:t>Détecté depuis le fichier de comptes clôturés</w:t>
            </w:r>
          </w:p>
        </w:tc>
      </w:tr>
      <w:tr>
        <w:tc>
          <w:tcPr>
            <w:tcW w:type="dxa" w:w="2280"/>
          </w:tcPr>
          <w:p>
            <w:r>
              <w:rPr>
                <w:sz w:val="20"/>
              </w:rPr>
              <w:t>13</w:t>
            </w:r>
          </w:p>
        </w:tc>
        <w:tc>
          <w:tcPr>
            <w:tcW w:type="dxa" w:w="2280"/>
          </w:tcPr>
          <w:p>
            <w:r>
              <w:rPr>
                <w:sz w:val="20"/>
              </w:rPr>
              <w:t>Commentaires RS</w:t>
            </w:r>
          </w:p>
        </w:tc>
        <w:tc>
          <w:tcPr>
            <w:tcW w:type="dxa" w:w="2280"/>
          </w:tcPr>
          <w:p>
            <w:r>
              <w:rPr>
                <w:sz w:val="20"/>
              </w:rPr>
              <w:t>Manuelle</w:t>
            </w:r>
          </w:p>
        </w:tc>
        <w:tc>
          <w:tcPr>
            <w:tcW w:type="dxa" w:w="2280"/>
          </w:tcPr>
          <w:p>
            <w:r>
              <w:rPr>
                <w:sz w:val="20"/>
              </w:rPr>
              <w:t>Notes libres du responsable de secteur</w:t>
            </w:r>
          </w:p>
        </w:tc>
      </w:tr>
      <w:tr>
        <w:tc>
          <w:tcPr>
            <w:tcW w:type="dxa" w:w="2280"/>
          </w:tcPr>
          <w:p>
            <w:r>
              <w:rPr>
                <w:sz w:val="20"/>
              </w:rPr>
              <w:t>14</w:t>
            </w:r>
          </w:p>
        </w:tc>
        <w:tc>
          <w:tcPr>
            <w:tcW w:type="dxa" w:w="2280"/>
          </w:tcPr>
          <w:p>
            <w:r>
              <w:rPr>
                <w:sz w:val="20"/>
              </w:rPr>
              <w:t>Commentaires compta</w:t>
            </w:r>
          </w:p>
        </w:tc>
        <w:tc>
          <w:tcPr>
            <w:tcW w:type="dxa" w:w="2280"/>
          </w:tcPr>
          <w:p>
            <w:r>
              <w:rPr>
                <w:sz w:val="20"/>
              </w:rPr>
              <w:t>Manuelle</w:t>
            </w:r>
          </w:p>
        </w:tc>
        <w:tc>
          <w:tcPr>
            <w:tcW w:type="dxa" w:w="2280"/>
          </w:tcPr>
          <w:p>
            <w:r>
              <w:rPr>
                <w:sz w:val="20"/>
              </w:rPr>
              <w:t>Notes libres du service comptabilité</w:t>
            </w:r>
          </w:p>
        </w:tc>
      </w:tr>
    </w:tbl>
    <w:p/>
    <w:p>
      <w:r>
        <w:rPr>
          <w:sz w:val="22"/>
        </w:rPr>
        <w:t>Les colonnes automatiques sont alimentées à partir de l'export comptable et ne doivent pas être modifiées manuellement pour garantir le bon fonctionnement des actualisations futures. Les colonnes manuelles sont entièrement libres et préservées à chaque actualisation.</w:t>
      </w:r>
    </w:p>
    <w:p>
      <w:r>
        <w:rPr>
          <w:b/>
          <w:color w:val="1F497D"/>
          <w:sz w:val="24"/>
        </w:rPr>
        <w:t>6. Formats de fichiers d'entrée acceptés</w:t>
      </w:r>
    </w:p>
    <w:p>
      <w:r>
        <w:rPr>
          <w:sz w:val="22"/>
        </w:rPr>
        <w:t>L'application accepte deux formats d'export comptable :</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D6E4F0"/>
          </w:tcPr>
          <w:p>
            <w:r>
              <w:rPr>
                <w:b/>
                <w:sz w:val="22"/>
              </w:rPr>
              <w:t>Format</w:t>
            </w:r>
          </w:p>
        </w:tc>
        <w:tc>
          <w:tcPr>
            <w:tcW w:type="dxa" w:w="3041"/>
            <w:shd w:val="clear" w:color="auto" w:fill="D6E4F0"/>
          </w:tcPr>
          <w:p>
            <w:r>
              <w:rPr>
                <w:b/>
                <w:sz w:val="22"/>
              </w:rPr>
              <w:t>Colonnes attendues</w:t>
            </w:r>
          </w:p>
        </w:tc>
        <w:tc>
          <w:tcPr>
            <w:tcW w:type="dxa" w:w="3041"/>
            <w:shd w:val="clear" w:color="auto" w:fill="D6E4F0"/>
          </w:tcPr>
          <w:p>
            <w:r>
              <w:rPr>
                <w:b/>
                <w:sz w:val="22"/>
              </w:rPr>
              <w:t>Extension</w:t>
            </w:r>
          </w:p>
        </w:tc>
      </w:tr>
      <w:tr>
        <w:tc>
          <w:tcPr>
            <w:tcW w:type="dxa" w:w="3041"/>
          </w:tcPr>
          <w:p>
            <w:r>
              <w:rPr>
                <w:sz w:val="20"/>
              </w:rPr>
              <w:t>Standard</w:t>
            </w:r>
          </w:p>
        </w:tc>
        <w:tc>
          <w:tcPr>
            <w:tcW w:type="dxa" w:w="3041"/>
          </w:tcPr>
          <w:p>
            <w:r>
              <w:rPr>
                <w:sz w:val="20"/>
              </w:rPr>
              <w:t>Clients, Ville, Secteur, Compte Tiers, Solde AU, NOMBRE DE FACTURES NON REGLEES</w:t>
            </w:r>
          </w:p>
        </w:tc>
        <w:tc>
          <w:tcPr>
            <w:tcW w:type="dxa" w:w="3041"/>
          </w:tcPr>
          <w:p>
            <w:r>
              <w:rPr>
                <w:sz w:val="20"/>
              </w:rPr>
              <w:t>.csv ou .xlsx</w:t>
            </w:r>
          </w:p>
        </w:tc>
      </w:tr>
      <w:tr>
        <w:tc>
          <w:tcPr>
            <w:tcW w:type="dxa" w:w="3041"/>
          </w:tcPr>
          <w:p>
            <w:r>
              <w:rPr>
                <w:sz w:val="20"/>
              </w:rPr>
              <w:t>Arche (10 col.)</w:t>
            </w:r>
          </w:p>
        </w:tc>
        <w:tc>
          <w:tcPr>
            <w:tcW w:type="dxa" w:w="3041"/>
          </w:tcPr>
          <w:p>
            <w:r>
              <w:rPr>
                <w:sz w:val="20"/>
              </w:rPr>
              <w:t>Format Arche spécifique — conversion automatique</w:t>
            </w:r>
          </w:p>
        </w:tc>
        <w:tc>
          <w:tcPr>
            <w:tcW w:type="dxa" w:w="3041"/>
          </w:tcPr>
          <w:p>
            <w:r>
              <w:rPr>
                <w:sz w:val="20"/>
              </w:rPr>
              <w:t>.xlsx</w:t>
            </w:r>
          </w:p>
        </w:tc>
      </w:tr>
    </w:tbl>
    <w:p/>
    <w:p>
      <w:r>
        <w:rPr>
          <w:sz w:val="22"/>
        </w:rPr>
        <w:t>La détection du format est automatique. Si le fichier Arche est chargé, l'application le convertit à la volée avant traitement, sans aucune action supplémentaire de votre part.</w:t>
      </w:r>
    </w:p>
    <w:p>
      <w:r>
        <w:rPr>
          <w:b/>
          <w:color w:val="1F497D"/>
          <w:sz w:val="24"/>
        </w:rPr>
        <w:t>7. Questions fréquentes et résolution de problèmes</w:t>
      </w:r>
    </w:p>
    <w:p>
      <w:r>
        <w:rPr>
          <w:sz w:val="22"/>
        </w:rPr>
        <w:t>La page ne s'affiche pas dans le navigateur</w:t>
      </w:r>
    </w:p>
    <w:p>
      <w:pPr>
        <w:pStyle w:val="ListBullet"/>
      </w:pPr>
      <w:r>
        <w:rPr>
          <w:sz w:val="22"/>
        </w:rPr>
        <w:t>Vérifiez que la fenêtre de console est bien ouverte (le serveur tourne).</w:t>
      </w:r>
    </w:p>
    <w:p>
      <w:pPr>
        <w:pStyle w:val="ListBullet"/>
      </w:pPr>
      <w:r>
        <w:rPr>
          <w:sz w:val="22"/>
        </w:rPr>
        <w:t>Tapez manuellement http://localhost:5000 dans le navigateur.</w:t>
      </w:r>
    </w:p>
    <w:p>
      <w:pPr>
        <w:pStyle w:val="ListBullet"/>
      </w:pPr>
      <w:r>
        <w:rPr>
          <w:sz w:val="22"/>
        </w:rPr>
        <w:t>Si le problème persiste, fermez la console et relancez GestionImpayes.bat.</w:t>
      </w:r>
    </w:p>
    <w:p>
      <w:r>
        <w:rPr>
          <w:sz w:val="22"/>
        </w:rPr>
        <w:t>Message d'erreur lors du chargement du fichier</w:t>
      </w:r>
    </w:p>
    <w:p>
      <w:pPr>
        <w:pStyle w:val="ListBullet"/>
      </w:pPr>
      <w:r>
        <w:rPr>
          <w:sz w:val="22"/>
        </w:rPr>
        <w:t>Vérifiez que le fichier n'est pas ouvert simultanément dans Excel.</w:t>
      </w:r>
    </w:p>
    <w:p>
      <w:pPr>
        <w:pStyle w:val="ListBullet"/>
      </w:pPr>
      <w:r>
        <w:rPr>
          <w:sz w:val="22"/>
        </w:rPr>
        <w:t>Assurez-vous que les colonnes correspondent au format attendu (utilisez diagnostic_colonnes.py en cas de doute).</w:t>
      </w:r>
    </w:p>
    <w:p>
      <w:r>
        <w:rPr>
          <w:sz w:val="22"/>
        </w:rPr>
        <w:t>Les annotations manuelles ont disparu après une actualisation</w:t>
      </w:r>
    </w:p>
    <w:p>
      <w:pPr>
        <w:pStyle w:val="ListBullet"/>
      </w:pPr>
      <w:r>
        <w:rPr>
          <w:sz w:val="22"/>
        </w:rPr>
        <w:t>Vérifiez que vous avez bien chargé le bon fichier existant (celui avec les annotations).</w:t>
      </w:r>
    </w:p>
    <w:p>
      <w:pPr>
        <w:pStyle w:val="ListBullet"/>
      </w:pPr>
      <w:r>
        <w:rPr>
          <w:sz w:val="22"/>
        </w:rPr>
        <w:t>Le fichier archivé (dans le dossier archives/) contient une copie horodatée des données précédentes.</w:t>
      </w:r>
    </w:p>
    <w:p>
      <w:r>
        <w:rPr>
          <w:sz w:val="22"/>
        </w:rPr>
        <w:t>Pour toute question non résolue, contactez Kahina ABBAD à l'adresse kahina.abbad@la-communaute.org.</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