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2"/>
        </w:rPr>
        <w:t>Note RGPD — Gestion des Impayés</w:t>
      </w:r>
    </w:p>
    <w:p>
      <w:pPr>
        <w:jc w:val="center"/>
      </w:pPr>
      <w:r>
        <w:rPr>
          <w:i/>
          <w:color w:val="707070"/>
          <w:sz w:val="20"/>
        </w:rPr>
        <w:t>La Communauté — Version 1.0 — Avril 2026</w:t>
      </w:r>
    </w:p>
    <w:p/>
    <w:p>
      <w:r>
        <w:rPr>
          <w:sz w:val="22"/>
        </w:rPr>
        <w:t>La présente note a pour objet de documenter les conditions dans lesquelles l'application « Gestion des Impayés » traite des données à caractère personnel, au regard du Règlement Général sur la Protection des Données (RGPD, UE 2016/679) et de la loi Informatique et Libertés.</w:t>
      </w:r>
    </w:p>
    <w:p>
      <w:r>
        <w:rPr>
          <w:b/>
          <w:color w:val="1F497D"/>
          <w:sz w:val="24"/>
        </w:rPr>
        <w:t>1. Responsable de traitement</w:t>
      </w:r>
    </w:p>
    <w:tbl>
      <w:tblPr>
        <w:tblStyle w:val="TableGrid"/>
        <w:tblW w:type="auto" w:w="0"/>
        <w:tblLook w:firstColumn="1" w:firstRow="1" w:lastColumn="0" w:lastRow="0" w:noHBand="0" w:noVBand="1" w:val="04A0"/>
      </w:tblPr>
      <w:tblGrid>
        <w:gridCol w:w="4561"/>
        <w:gridCol w:w="4561"/>
      </w:tblGrid>
      <w:tr>
        <w:tc>
          <w:tcPr>
            <w:tcW w:type="dxa" w:w="4561"/>
            <w:shd w:val="clear" w:color="auto" w:fill="D6E4F0"/>
          </w:tcPr>
          <w:p>
            <w:r>
              <w:rPr>
                <w:b/>
                <w:sz w:val="22"/>
              </w:rPr>
              <w:t>Champ</w:t>
            </w:r>
          </w:p>
        </w:tc>
        <w:tc>
          <w:tcPr>
            <w:tcW w:type="dxa" w:w="4561"/>
            <w:shd w:val="clear" w:color="auto" w:fill="D6E4F0"/>
          </w:tcPr>
          <w:p>
            <w:r>
              <w:rPr>
                <w:b/>
                <w:sz w:val="22"/>
              </w:rPr>
              <w:t>Valeur</w:t>
            </w:r>
          </w:p>
        </w:tc>
      </w:tr>
      <w:tr>
        <w:tc>
          <w:tcPr>
            <w:tcW w:type="dxa" w:w="4561"/>
          </w:tcPr>
          <w:p>
            <w:r>
              <w:rPr>
                <w:sz w:val="20"/>
              </w:rPr>
              <w:t>Organisme</w:t>
            </w:r>
          </w:p>
        </w:tc>
        <w:tc>
          <w:tcPr>
            <w:tcW w:type="dxa" w:w="4561"/>
          </w:tcPr>
          <w:p>
            <w:r>
              <w:rPr>
                <w:sz w:val="20"/>
              </w:rPr>
              <w:t>La Communauté</w:t>
            </w:r>
          </w:p>
        </w:tc>
      </w:tr>
      <w:tr>
        <w:tc>
          <w:tcPr>
            <w:tcW w:type="dxa" w:w="4561"/>
          </w:tcPr>
          <w:p>
            <w:r>
              <w:rPr>
                <w:sz w:val="20"/>
              </w:rPr>
              <w:t>Référent outil</w:t>
            </w:r>
          </w:p>
        </w:tc>
        <w:tc>
          <w:tcPr>
            <w:tcW w:type="dxa" w:w="4561"/>
          </w:tcPr>
          <w:p>
            <w:r>
              <w:rPr>
                <w:sz w:val="20"/>
              </w:rPr>
              <w:t>Kahina ABBAD</w:t>
            </w:r>
          </w:p>
        </w:tc>
      </w:tr>
      <w:tr>
        <w:tc>
          <w:tcPr>
            <w:tcW w:type="dxa" w:w="4561"/>
          </w:tcPr>
          <w:p>
            <w:r>
              <w:rPr>
                <w:sz w:val="20"/>
              </w:rPr>
              <w:t>Contact</w:t>
            </w:r>
          </w:p>
        </w:tc>
        <w:tc>
          <w:tcPr>
            <w:tcW w:type="dxa" w:w="4561"/>
          </w:tcPr>
          <w:p>
            <w:r>
              <w:rPr>
                <w:sz w:val="20"/>
              </w:rPr>
              <w:t>kahina.abbad@la-communaute.org</w:t>
            </w:r>
          </w:p>
        </w:tc>
      </w:tr>
      <w:tr>
        <w:tc>
          <w:tcPr>
            <w:tcW w:type="dxa" w:w="4561"/>
          </w:tcPr>
          <w:p>
            <w:r>
              <w:rPr>
                <w:sz w:val="20"/>
              </w:rPr>
              <w:t>Date de mise en service</w:t>
            </w:r>
          </w:p>
        </w:tc>
        <w:tc>
          <w:tcPr>
            <w:tcW w:type="dxa" w:w="4561"/>
          </w:tcPr>
          <w:p>
            <w:r>
              <w:rPr>
                <w:sz w:val="20"/>
              </w:rPr>
              <w:t>Avril 2026</w:t>
            </w:r>
          </w:p>
        </w:tc>
      </w:tr>
    </w:tbl>
    <w:p/>
    <w:p>
      <w:r>
        <w:rPr>
          <w:b/>
          <w:color w:val="1F497D"/>
          <w:sz w:val="24"/>
        </w:rPr>
        <w:t>2. Finalité du traitement</w:t>
      </w:r>
    </w:p>
    <w:p>
      <w:r>
        <w:rPr>
          <w:sz w:val="22"/>
        </w:rPr>
        <w:t>L'application a pour unique finalité le suivi interne des impayés des bénéficiaires de La Communauté. Elle permet au service comptabilité de centraliser et de générer les informations relatives aux comptes présentant un solde impayé, puis de transmettre le fichier résultant aux Responsables de Secteur qui le complètent avec leurs annotations, afin de faciliter les démarches de recouvrement amiable et la coordination entre les équipes.</w:t>
      </w:r>
    </w:p>
    <w:p>
      <w:r>
        <w:rPr>
          <w:sz w:val="22"/>
        </w:rPr>
        <w:t>Il n'existe aucune autre finalité secondaire : l'outil ne réalise pas de profilage, ne prend aucune décision automatisée ayant un effet juridique sur les personnes concernées, et ne croise pas les données avec d'autres sources.</w:t>
      </w:r>
    </w:p>
    <w:p>
      <w:r>
        <w:rPr>
          <w:b/>
          <w:color w:val="1F497D"/>
          <w:sz w:val="24"/>
        </w:rPr>
        <w:t>3. Catégories de données traitées</w:t>
      </w:r>
    </w:p>
    <w:p>
      <w:r>
        <w:rPr>
          <w:sz w:val="22"/>
        </w:rPr>
        <w:t>Les données traitées par l'application sont issues de l'export comptable interne et des annotations saisies par les équipes. Elles appartiennent aux catégories suivantes :</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6E4F0"/>
          </w:tcPr>
          <w:p>
            <w:r>
              <w:rPr>
                <w:b/>
                <w:sz w:val="22"/>
              </w:rPr>
              <w:t>Catégorie</w:t>
            </w:r>
          </w:p>
        </w:tc>
        <w:tc>
          <w:tcPr>
            <w:tcW w:type="dxa" w:w="3041"/>
            <w:shd w:val="clear" w:color="auto" w:fill="D6E4F0"/>
          </w:tcPr>
          <w:p>
            <w:r>
              <w:rPr>
                <w:b/>
                <w:sz w:val="22"/>
              </w:rPr>
              <w:t>Données concernées</w:t>
            </w:r>
          </w:p>
        </w:tc>
        <w:tc>
          <w:tcPr>
            <w:tcW w:type="dxa" w:w="3041"/>
            <w:shd w:val="clear" w:color="auto" w:fill="D6E4F0"/>
          </w:tcPr>
          <w:p>
            <w:r>
              <w:rPr>
                <w:b/>
                <w:sz w:val="22"/>
              </w:rPr>
              <w:t>Source</w:t>
            </w:r>
          </w:p>
        </w:tc>
      </w:tr>
      <w:tr>
        <w:tc>
          <w:tcPr>
            <w:tcW w:type="dxa" w:w="3041"/>
          </w:tcPr>
          <w:p>
            <w:r>
              <w:rPr>
                <w:sz w:val="20"/>
              </w:rPr>
              <w:t>Identification</w:t>
            </w:r>
          </w:p>
        </w:tc>
        <w:tc>
          <w:tcPr>
            <w:tcW w:type="dxa" w:w="3041"/>
          </w:tcPr>
          <w:p>
            <w:r>
              <w:rPr>
                <w:sz w:val="20"/>
              </w:rPr>
              <w:t>Nom du client (Clients), numéro de compte tiers (Compte Tiers)</w:t>
            </w:r>
          </w:p>
        </w:tc>
        <w:tc>
          <w:tcPr>
            <w:tcW w:type="dxa" w:w="3041"/>
          </w:tcPr>
          <w:p>
            <w:r>
              <w:rPr>
                <w:sz w:val="20"/>
              </w:rPr>
              <w:t>Export comptable</w:t>
            </w:r>
          </w:p>
        </w:tc>
      </w:tr>
      <w:tr>
        <w:tc>
          <w:tcPr>
            <w:tcW w:type="dxa" w:w="3041"/>
          </w:tcPr>
          <w:p>
            <w:r>
              <w:rPr>
                <w:sz w:val="20"/>
              </w:rPr>
              <w:t>Localisation</w:t>
            </w:r>
          </w:p>
        </w:tc>
        <w:tc>
          <w:tcPr>
            <w:tcW w:type="dxa" w:w="3041"/>
          </w:tcPr>
          <w:p>
            <w:r>
              <w:rPr>
                <w:sz w:val="20"/>
              </w:rPr>
              <w:t>Ville du client</w:t>
            </w:r>
          </w:p>
        </w:tc>
        <w:tc>
          <w:tcPr>
            <w:tcW w:type="dxa" w:w="3041"/>
          </w:tcPr>
          <w:p>
            <w:r>
              <w:rPr>
                <w:sz w:val="20"/>
              </w:rPr>
              <w:t>Export comptable</w:t>
            </w:r>
          </w:p>
        </w:tc>
      </w:tr>
      <w:tr>
        <w:tc>
          <w:tcPr>
            <w:tcW w:type="dxa" w:w="3041"/>
          </w:tcPr>
          <w:p>
            <w:r>
              <w:rPr>
                <w:sz w:val="20"/>
              </w:rPr>
              <w:t>Organisation</w:t>
            </w:r>
          </w:p>
        </w:tc>
        <w:tc>
          <w:tcPr>
            <w:tcW w:type="dxa" w:w="3041"/>
          </w:tcPr>
          <w:p>
            <w:r>
              <w:rPr>
                <w:sz w:val="20"/>
              </w:rPr>
              <w:t>Secteur géographique / d'activité</w:t>
            </w:r>
          </w:p>
        </w:tc>
        <w:tc>
          <w:tcPr>
            <w:tcW w:type="dxa" w:w="3041"/>
          </w:tcPr>
          <w:p>
            <w:r>
              <w:rPr>
                <w:sz w:val="20"/>
              </w:rPr>
              <w:t>Export comptable</w:t>
            </w:r>
          </w:p>
        </w:tc>
      </w:tr>
      <w:tr>
        <w:tc>
          <w:tcPr>
            <w:tcW w:type="dxa" w:w="3041"/>
          </w:tcPr>
          <w:p>
            <w:r>
              <w:rPr>
                <w:sz w:val="20"/>
              </w:rPr>
              <w:t>Financières</w:t>
            </w:r>
          </w:p>
        </w:tc>
        <w:tc>
          <w:tcPr>
            <w:tcW w:type="dxa" w:w="3041"/>
          </w:tcPr>
          <w:p>
            <w:r>
              <w:rPr>
                <w:sz w:val="20"/>
              </w:rPr>
              <w:t>Solde impayé (Solde AU), nombre de factures non réglées</w:t>
            </w:r>
          </w:p>
        </w:tc>
        <w:tc>
          <w:tcPr>
            <w:tcW w:type="dxa" w:w="3041"/>
          </w:tcPr>
          <w:p>
            <w:r>
              <w:rPr>
                <w:sz w:val="20"/>
              </w:rPr>
              <w:t>Export comptable</w:t>
            </w:r>
          </w:p>
        </w:tc>
      </w:tr>
      <w:tr>
        <w:tc>
          <w:tcPr>
            <w:tcW w:type="dxa" w:w="3041"/>
          </w:tcPr>
          <w:p>
            <w:r>
              <w:rPr>
                <w:sz w:val="20"/>
              </w:rPr>
              <w:t>Situation familiale</w:t>
            </w:r>
          </w:p>
        </w:tc>
        <w:tc>
          <w:tcPr>
            <w:tcW w:type="dxa" w:w="3041"/>
          </w:tcPr>
          <w:p>
            <w:r>
              <w:rPr>
                <w:sz w:val="20"/>
              </w:rPr>
              <w:t>Présence de famille, personne à contacter (Qui contacter ?)</w:t>
            </w:r>
          </w:p>
        </w:tc>
        <w:tc>
          <w:tcPr>
            <w:tcW w:type="dxa" w:w="3041"/>
          </w:tcPr>
          <w:p>
            <w:r>
              <w:rPr>
                <w:sz w:val="20"/>
              </w:rPr>
              <w:t>Saisie manuelle RS</w:t>
            </w:r>
          </w:p>
        </w:tc>
      </w:tr>
      <w:tr>
        <w:tc>
          <w:tcPr>
            <w:tcW w:type="dxa" w:w="3041"/>
          </w:tcPr>
          <w:p>
            <w:r>
              <w:rPr>
                <w:sz w:val="20"/>
              </w:rPr>
              <w:t>Appréciation sociale</w:t>
            </w:r>
          </w:p>
        </w:tc>
        <w:tc>
          <w:tcPr>
            <w:tcW w:type="dxa" w:w="3041"/>
          </w:tcPr>
          <w:p>
            <w:r>
              <w:rPr>
                <w:sz w:val="20"/>
              </w:rPr>
              <w:t>Capacité de compréhension du client</w:t>
            </w:r>
          </w:p>
        </w:tc>
        <w:tc>
          <w:tcPr>
            <w:tcW w:type="dxa" w:w="3041"/>
          </w:tcPr>
          <w:p>
            <w:r>
              <w:rPr>
                <w:sz w:val="20"/>
              </w:rPr>
              <w:t>Saisie manuelle RS</w:t>
            </w:r>
          </w:p>
        </w:tc>
      </w:tr>
      <w:tr>
        <w:tc>
          <w:tcPr>
            <w:tcW w:type="dxa" w:w="3041"/>
          </w:tcPr>
          <w:p>
            <w:r>
              <w:rPr>
                <w:sz w:val="20"/>
              </w:rPr>
              <w:t>Notes libres</w:t>
            </w:r>
          </w:p>
        </w:tc>
        <w:tc>
          <w:tcPr>
            <w:tcW w:type="dxa" w:w="3041"/>
          </w:tcPr>
          <w:p>
            <w:r>
              <w:rPr>
                <w:sz w:val="20"/>
              </w:rPr>
              <w:t>Commentaires RS, Commentaires compta</w:t>
            </w:r>
          </w:p>
        </w:tc>
        <w:tc>
          <w:tcPr>
            <w:tcW w:type="dxa" w:w="3041"/>
          </w:tcPr>
          <w:p>
            <w:r>
              <w:rPr>
                <w:sz w:val="20"/>
              </w:rPr>
              <w:t>Saisie manuelle</w:t>
            </w:r>
          </w:p>
        </w:tc>
      </w:tr>
    </w:tbl>
    <w:p/>
    <w:p>
      <w:r>
        <w:rPr>
          <w:sz w:val="22"/>
        </w:rPr>
        <w:t>Aucune donnée de santé, aucune donnée biométrique, aucune donnée sensible au sens de l'article 9 du RGPD n'est traitée par l'application.</w:t>
      </w:r>
    </w:p>
    <w:p>
      <w:r>
        <w:rPr>
          <w:b/>
          <w:color w:val="1F497D"/>
          <w:sz w:val="24"/>
        </w:rPr>
        <w:t>4. Base légale du traitement</w:t>
      </w:r>
    </w:p>
    <w:p>
      <w:r>
        <w:rPr>
          <w:sz w:val="22"/>
        </w:rPr>
        <w:t>Le traitement est fondé sur l'article 6.1.c du RGPD (obligation légale) combiné à l'article 6.1.e (mission d'intérêt public / exercice de l'autorité publique), dans le cadre des obligations de gestion financière et comptable de La Communauté. La gestion des créances non recouvrées est une activité inhérente à la bonne gestion des services publics ou d'intérêt général assurés par l'organisme.</w:t>
      </w:r>
    </w:p>
    <w:p>
      <w:r>
        <w:rPr>
          <w:b/>
          <w:color w:val="1F497D"/>
          <w:sz w:val="24"/>
        </w:rPr>
        <w:t>5. Destinataires des données</w:t>
      </w:r>
    </w:p>
    <w:p>
      <w:r>
        <w:rPr>
          <w:sz w:val="22"/>
        </w:rPr>
        <w:t>Les données traitées par l'application sont réservées à un usage strictement interne :</w:t>
      </w:r>
    </w:p>
    <w:p>
      <w:pPr>
        <w:pStyle w:val="ListBullet"/>
      </w:pPr>
      <w:r>
        <w:rPr>
          <w:sz w:val="22"/>
        </w:rPr>
        <w:t>Les responsables de secteur concernés par les comptes affichés.</w:t>
      </w:r>
    </w:p>
    <w:p>
      <w:pPr>
        <w:pStyle w:val="ListBullet"/>
      </w:pPr>
      <w:r>
        <w:rPr>
          <w:sz w:val="22"/>
        </w:rPr>
        <w:t>Le service comptabilité de La Communauté.</w:t>
      </w:r>
    </w:p>
    <w:p>
      <w:pPr>
        <w:pStyle w:val="ListBullet"/>
      </w:pPr>
      <w:r>
        <w:rPr>
          <w:sz w:val="22"/>
        </w:rPr>
        <w:t>Kahina ABBAD, référente de l'outil, dans le cadre de la maintenance.</w:t>
      </w:r>
    </w:p>
    <w:p>
      <w:r>
        <w:rPr>
          <w:sz w:val="22"/>
        </w:rPr>
        <w:t>Aucune donnée n'est transmise à un prestataire externe, à une API tierce, à un service cloud, à un partenaire ou à toute autre entité. L'application fonctionne entièrement en local, sans connexion Internet.</w:t>
      </w:r>
    </w:p>
    <w:p>
      <w:r>
        <w:rPr>
          <w:b/>
          <w:color w:val="1F497D"/>
          <w:sz w:val="24"/>
        </w:rPr>
        <w:t>6. Durée de conservation</w:t>
      </w:r>
    </w:p>
    <w:p>
      <w:r>
        <w:rPr>
          <w:sz w:val="22"/>
        </w:rPr>
        <w:t>L'application ne dispose d'aucune base de données. Les données ne sont présentes en mémoire que le temps du traitement (quelques secondes). Le fichier Excel produit est téléchargé par l'utilisateur et stocké sur le poste ou le partage réseau de La Communauté, sous la responsabilité de l'utilisateur.</w:t>
      </w:r>
    </w:p>
    <w:p>
      <w:r>
        <w:rPr>
          <w:sz w:val="22"/>
        </w:rPr>
        <w:t>Les fichiers archivés automatiquement dans le dossier archives/ (copies horodatées générées lors des actualisations) doivent être conservés selon la politique de rétention documentaire en vigueur à La Communauté. Il est recommandé de purger régulièrement ce dossier et de ne conserver que les archives utiles à la continuité du suivi.</w:t>
      </w:r>
    </w:p>
    <w:p>
      <w:r>
        <w:rPr>
          <w:b/>
          <w:color w:val="1F497D"/>
          <w:sz w:val="24"/>
        </w:rPr>
        <w:t>7. Non-persistance et absence de transmission</w:t>
      </w:r>
    </w:p>
    <w:p>
      <w:r>
        <w:rPr>
          <w:sz w:val="22"/>
        </w:rPr>
        <w:t>Un point essentiel de l'architecture de l'outil est son absence totale de persistance côté serveur : aucune donnée personnelle n'est stockée dans une base de données, aucun journal applicatif ne contient d'informations sur les bénéficiaires, et aucun fichier temporaire contenant des données personnelles n'est conservé après le traitement.</w:t>
      </w:r>
    </w:p>
    <w:p>
      <w:r>
        <w:rPr>
          <w:sz w:val="22"/>
        </w:rPr>
        <w:t>Les fichiers téléversés dans le formulaire web sont traités en mémoire vive (RAM) puis immédiatement détruits. Seul le fichier Excel de sortie est écrit sur le disque du poste où tourne le serveur (dossier output/), en vue de son téléchargement immédiat par l'utilisateur.</w:t>
      </w:r>
    </w:p>
    <w:p>
      <w:r>
        <w:rPr>
          <w:b/>
          <w:color w:val="1F497D"/>
          <w:sz w:val="24"/>
        </w:rPr>
        <w:t>8. Droits des personnes concernées</w:t>
      </w:r>
    </w:p>
    <w:p>
      <w:r>
        <w:rPr>
          <w:sz w:val="22"/>
        </w:rPr>
        <w:t>Les bénéficiaires dont les données apparaissent dans l'outil disposent des droits suivants au titre du RGPD : droit d'accès, de rectification, d'effacement, de limitation du traitement et d'opposition. Ces droits s'exercent auprès du Délégué à la Protection des Données (DPO) de La Communauté, dont les coordonnées sont disponibles sur le site intranet de l'organisme.</w:t>
      </w:r>
    </w:p>
    <w:p>
      <w:r>
        <w:rPr>
          <w:sz w:val="22"/>
        </w:rPr>
        <w:t>L'application ne dispose pas d'un mécanisme automatisé pour répondre à ces demandes : elles doivent être traitées manuellement par le service concerné en modifiant ou supprimant les données dans les fichiers Excel produits.</w:t>
      </w:r>
    </w:p>
    <w:p>
      <w:r>
        <w:rPr>
          <w:b/>
          <w:color w:val="1F497D"/>
          <w:sz w:val="24"/>
        </w:rPr>
        <w:t>9. Mesures de sécurité associées</w:t>
      </w:r>
    </w:p>
    <w:p>
      <w:r>
        <w:rPr>
          <w:sz w:val="22"/>
        </w:rPr>
        <w:t>Les mesures techniques et organisationnelles mises en place pour protéger les données sont décrites dans la note de sécurité (document 05_note_securite.docx). En synthèse : accès limité au réseau local, pas d'API externe, pas de transmission chiffrée requise (flux local uniquement), contrôle d'accès par politique réseau de La Communauté.</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