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Charte d'Utilisation — Gestion des Impayés</w:t>
      </w:r>
    </w:p>
    <w:p>
      <w:pPr>
        <w:jc w:val="center"/>
      </w:pPr>
      <w:r>
        <w:rPr>
          <w:i/>
          <w:color w:val="707070"/>
          <w:sz w:val="20"/>
        </w:rPr>
        <w:t>La Communauté — Version 1.0 — Avril 2026</w:t>
      </w:r>
    </w:p>
    <w:p/>
    <w:p>
      <w:r>
        <w:rPr>
          <w:sz w:val="22"/>
        </w:rPr>
        <w:t>La présente charte définit les conditions d'utilisation de l'application interne « Gestion des Impayés » mise à disposition par La Communauté. Elle s'adresse aux agents du service comptabilité amenés à utiliser cet outil dans le cadre de leurs fonctions.</w:t>
      </w:r>
    </w:p>
    <w:p>
      <w:r>
        <w:rPr>
          <w:b/>
          <w:color w:val="1F497D"/>
          <w:sz w:val="24"/>
        </w:rPr>
        <w:t>1. Objet de la charte</w:t>
      </w:r>
    </w:p>
    <w:p>
      <w:r>
        <w:rPr>
          <w:sz w:val="22"/>
        </w:rPr>
        <w:t>Cette charte a pour objet de préciser les usages autorisés et interdits, les responsabilités de chaque utilisateur et les limites de l'outil, afin d'en garantir un usage conforme aux obligations légales de La Communauté et respectueux des données des bénéficiaires.</w:t>
      </w:r>
    </w:p>
    <w:p>
      <w:r>
        <w:rPr>
          <w:b/>
          <w:color w:val="1F497D"/>
          <w:sz w:val="24"/>
        </w:rPr>
        <w:t>2. Utilisateurs autorisés</w:t>
      </w:r>
    </w:p>
    <w:p>
      <w:r>
        <w:rPr>
          <w:sz w:val="22"/>
        </w:rPr>
        <w:t>L'accès à l'application est réservé aux catégories d'agents suivantes :</w:t>
      </w:r>
    </w:p>
    <w:tbl>
      <w:tblPr>
        <w:tblStyle w:val="TableGrid"/>
        <w:tblW w:type="auto" w:w="0"/>
        <w:tblLook w:firstColumn="1" w:firstRow="1" w:lastColumn="0" w:lastRow="0" w:noHBand="0" w:noVBand="1" w:val="04A0"/>
      </w:tblPr>
      <w:tblGrid>
        <w:gridCol w:w="4561"/>
        <w:gridCol w:w="4561"/>
      </w:tblGrid>
      <w:tr>
        <w:tc>
          <w:tcPr>
            <w:tcW w:type="dxa" w:w="4561"/>
            <w:shd w:val="clear" w:color="auto" w:fill="D6E4F0"/>
          </w:tcPr>
          <w:p>
            <w:r>
              <w:rPr>
                <w:b/>
                <w:sz w:val="22"/>
              </w:rPr>
              <w:t>Profil</w:t>
            </w:r>
          </w:p>
        </w:tc>
        <w:tc>
          <w:tcPr>
            <w:tcW w:type="dxa" w:w="4561"/>
            <w:shd w:val="clear" w:color="auto" w:fill="D6E4F0"/>
          </w:tcPr>
          <w:p>
            <w:r>
              <w:rPr>
                <w:b/>
                <w:sz w:val="22"/>
              </w:rPr>
              <w:t>Usage autorisé</w:t>
            </w:r>
          </w:p>
        </w:tc>
      </w:tr>
      <w:tr>
        <w:tc>
          <w:tcPr>
            <w:tcW w:type="dxa" w:w="4561"/>
          </w:tcPr>
          <w:p>
            <w:r>
              <w:rPr>
                <w:sz w:val="20"/>
              </w:rPr>
              <w:t>Responsables de secteur (RS)</w:t>
            </w:r>
          </w:p>
        </w:tc>
        <w:tc>
          <w:tcPr>
            <w:tcW w:type="dxa" w:w="4561"/>
          </w:tcPr>
          <w:p>
            <w:r>
              <w:rPr>
                <w:sz w:val="20"/>
              </w:rPr>
              <w:t>Réception du fichier Excel généré par le service comptabilité, saisie des colonnes manuelles (famille, contact, commentaires RS) directement dans Excel</w:t>
            </w:r>
          </w:p>
        </w:tc>
      </w:tr>
      <w:tr>
        <w:tc>
          <w:tcPr>
            <w:tcW w:type="dxa" w:w="4561"/>
          </w:tcPr>
          <w:p>
            <w:r>
              <w:rPr>
                <w:sz w:val="20"/>
              </w:rPr>
              <w:t>Service comptabilité</w:t>
            </w:r>
          </w:p>
        </w:tc>
        <w:tc>
          <w:tcPr>
            <w:tcW w:type="dxa" w:w="4561"/>
          </w:tcPr>
          <w:p>
            <w:r>
              <w:rPr>
                <w:sz w:val="20"/>
              </w:rPr>
              <w:t>Génération et actualisation du fichier Excel mensuel de suivi des impayés via l'application web, transmission du fichier aux Responsables de Secteur</w:t>
            </w:r>
          </w:p>
        </w:tc>
      </w:tr>
      <w:tr>
        <w:tc>
          <w:tcPr>
            <w:tcW w:type="dxa" w:w="4561"/>
          </w:tcPr>
          <w:p>
            <w:r>
              <w:rPr>
                <w:sz w:val="20"/>
              </w:rPr>
              <w:t>Référente outil (Kahina ABBAD)</w:t>
            </w:r>
          </w:p>
        </w:tc>
        <w:tc>
          <w:tcPr>
            <w:tcW w:type="dxa" w:w="4561"/>
          </w:tcPr>
          <w:p>
            <w:r>
              <w:rPr>
                <w:sz w:val="20"/>
              </w:rPr>
              <w:t>Administration complète, maintenance, génération de fichiers, accès à tous les secteurs</w:t>
            </w:r>
          </w:p>
        </w:tc>
      </w:tr>
    </w:tbl>
    <w:p/>
    <w:p>
      <w:r>
        <w:rPr>
          <w:sz w:val="22"/>
        </w:rPr>
        <w:t>L'accès à l'application est conditionné par l'accès au partage réseau Z:\DOC\RESPONSABLES DE SECTEUR\KAHINA\Projets\gestion-Impayés\. Tout agent ne disposant pas de cet accès réseau ne peut pas lancer l'application, ce qui constitue le premier niveau de contrôle d'accès.</w:t>
      </w:r>
    </w:p>
    <w:p>
      <w:r>
        <w:rPr>
          <w:b/>
          <w:color w:val="1F497D"/>
          <w:sz w:val="24"/>
        </w:rPr>
        <w:t>3. Usages autorisés</w:t>
      </w:r>
    </w:p>
    <w:p>
      <w:r>
        <w:rPr>
          <w:sz w:val="22"/>
        </w:rPr>
        <w:t>Les utilisateurs autorisés peuvent :</w:t>
      </w:r>
    </w:p>
    <w:p>
      <w:pPr>
        <w:pStyle w:val="ListBullet"/>
      </w:pPr>
      <w:r>
        <w:rPr>
          <w:sz w:val="22"/>
        </w:rPr>
        <w:t>Générer un fichier Excel de suivi des impayés à partir d'un export comptable.</w:t>
      </w:r>
    </w:p>
    <w:p>
      <w:pPr>
        <w:pStyle w:val="ListBullet"/>
      </w:pPr>
      <w:r>
        <w:rPr>
          <w:sz w:val="22"/>
        </w:rPr>
        <w:t>Actualiser un fichier existant en chargeant un nouvel export comptable.</w:t>
      </w:r>
    </w:p>
    <w:p>
      <w:pPr>
        <w:pStyle w:val="ListBullet"/>
      </w:pPr>
      <w:r>
        <w:rPr>
          <w:sz w:val="22"/>
        </w:rPr>
        <w:t>Transmettre le fichier Excel généré aux Responsables de Secteur pour qu’ils complètent leurs colonnes manuelles directement dans Excel.</w:t>
      </w:r>
    </w:p>
    <w:p>
      <w:pPr>
        <w:pStyle w:val="ListBullet"/>
      </w:pPr>
      <w:r>
        <w:rPr>
          <w:sz w:val="22"/>
        </w:rPr>
        <w:t>Partager le fichier Excel produit avec les Responsables de Secteur concernés, via les canaux internes habituels.</w:t>
      </w:r>
    </w:p>
    <w:p>
      <w:pPr>
        <w:pStyle w:val="ListBullet"/>
      </w:pPr>
      <w:r>
        <w:rPr>
          <w:sz w:val="22"/>
        </w:rPr>
        <w:t>Archiver les fichiers produits conformément à la politique documentaire de La Communauté.</w:t>
      </w:r>
    </w:p>
    <w:p>
      <w:r>
        <w:rPr>
          <w:b/>
          <w:color w:val="1F497D"/>
          <w:sz w:val="24"/>
        </w:rPr>
        <w:t>4. Usages interdits</w:t>
      </w:r>
    </w:p>
    <w:p>
      <w:r>
        <w:rPr>
          <w:sz w:val="22"/>
        </w:rPr>
        <w:t>Il est expressément interdit de :</w:t>
      </w:r>
    </w:p>
    <w:p>
      <w:pPr>
        <w:pStyle w:val="ListBullet"/>
      </w:pPr>
      <w:r>
        <w:rPr>
          <w:sz w:val="22"/>
        </w:rPr>
        <w:t>Utiliser l'application à des fins autres que le suivi interne des impayés de La Communauté.</w:t>
      </w:r>
    </w:p>
    <w:p>
      <w:pPr>
        <w:pStyle w:val="ListBullet"/>
      </w:pPr>
      <w:r>
        <w:rPr>
          <w:sz w:val="22"/>
        </w:rPr>
        <w:t>Transmettre les fichiers produits à des personnes extérieures à La Communauté (prestataires, tiers, bénéficiaires eux-mêmes) sans autorisation écrite de la direction.</w:t>
      </w:r>
    </w:p>
    <w:p>
      <w:pPr>
        <w:pStyle w:val="ListBullet"/>
      </w:pPr>
      <w:r>
        <w:rPr>
          <w:sz w:val="22"/>
        </w:rPr>
        <w:t>Publier, partager ou stocker les fichiers sur des services cloud publics (Google Drive, OneDrive personnel, Dropbox, etc.).</w:t>
      </w:r>
    </w:p>
    <w:p>
      <w:pPr>
        <w:pStyle w:val="ListBullet"/>
      </w:pPr>
      <w:r>
        <w:rPr>
          <w:sz w:val="22"/>
        </w:rPr>
        <w:t>Modifier la structure du fichier Excel de sortie (supprimer ou renommer des colonnes), ce qui compromettrait le mécanisme d'actualisation.</w:t>
      </w:r>
    </w:p>
    <w:p>
      <w:pPr>
        <w:pStyle w:val="ListBullet"/>
      </w:pPr>
      <w:r>
        <w:rPr>
          <w:sz w:val="22"/>
        </w:rPr>
        <w:t>Tenter d'accéder à l'application depuis un réseau extérieur à La Communauté ou de la rendre accessible à distance.</w:t>
      </w:r>
    </w:p>
    <w:p>
      <w:pPr>
        <w:pStyle w:val="ListBullet"/>
      </w:pPr>
      <w:r>
        <w:rPr>
          <w:sz w:val="22"/>
        </w:rPr>
        <w:t>Utiliser les données des bénéficiaires à des fins de prospection commerciale, de démarchage ou toute autre finalité non prévue.</w:t>
      </w:r>
    </w:p>
    <w:p>
      <w:pPr>
        <w:pStyle w:val="ListBullet"/>
      </w:pPr>
      <w:r>
        <w:rPr>
          <w:sz w:val="22"/>
        </w:rPr>
        <w:t>Installer ou modifier les composants logiciels de l'application sans accord de la référente outil.</w:t>
      </w:r>
    </w:p>
    <w:p>
      <w:r>
        <w:rPr>
          <w:b/>
          <w:color w:val="1F497D"/>
          <w:sz w:val="24"/>
        </w:rPr>
        <w:t>5. Limites de l'outil</w:t>
      </w:r>
    </w:p>
    <w:p>
      <w:r>
        <w:rPr>
          <w:sz w:val="22"/>
        </w:rPr>
        <w:t>L'utilisateur doit avoir conscience des limites suivantes :</w:t>
      </w:r>
    </w:p>
    <w:p>
      <w:pPr>
        <w:pStyle w:val="ListBullet"/>
      </w:pPr>
      <w:r>
        <w:rPr>
          <w:sz w:val="22"/>
        </w:rPr>
        <w:t>L'application ne dispose d'aucun mécanisme de sauvegarde automatique des fichiers produits : il appartient à l'utilisateur de télécharger et de sauvegarder le fichier Excel généré.</w:t>
      </w:r>
    </w:p>
    <w:p>
      <w:pPr>
        <w:pStyle w:val="ListBullet"/>
      </w:pPr>
      <w:r>
        <w:rPr>
          <w:sz w:val="22"/>
        </w:rPr>
        <w:t>L'outil ne valide pas le contenu des données saisies dans les colonnes manuelles : la qualité et la pertinence des annotations relèvent de la responsabilité de l'utilisateur.</w:t>
      </w:r>
    </w:p>
    <w:p>
      <w:pPr>
        <w:pStyle w:val="ListBullet"/>
      </w:pPr>
      <w:r>
        <w:rPr>
          <w:sz w:val="22"/>
        </w:rPr>
        <w:t>L'application ne gère pas les droits d'accès au sein du fichier Excel : une fois téléchargé, le fichier peut être ouvert par tout agent disposant d'un accès au répertoire où il est stocké.</w:t>
      </w:r>
    </w:p>
    <w:p>
      <w:pPr>
        <w:pStyle w:val="ListBullet"/>
      </w:pPr>
      <w:r>
        <w:rPr>
          <w:sz w:val="22"/>
        </w:rPr>
        <w:t>L'exactitude des données comptables dépend entièrement de l'export fourni : l'application ne corrige pas les erreurs présentes dans l'export source.</w:t>
      </w:r>
    </w:p>
    <w:p>
      <w:pPr>
        <w:pStyle w:val="ListBullet"/>
      </w:pPr>
      <w:r>
        <w:rPr>
          <w:sz w:val="22"/>
        </w:rPr>
        <w:t>L'outil ne remplace pas un logiciel de gestion de la relation client (CRM) ni un outil de recouvrement : il est uniquement destiné à faciliter la coordination interne.</w:t>
      </w:r>
    </w:p>
    <w:p>
      <w:r>
        <w:rPr>
          <w:b/>
          <w:color w:val="1F497D"/>
          <w:sz w:val="24"/>
        </w:rPr>
        <w:t>6. Responsabilités</w:t>
      </w:r>
    </w:p>
    <w:p>
      <w:r>
        <w:rPr>
          <w:sz w:val="22"/>
        </w:rPr>
        <w:t>Chaque utilisateur est responsable de l'usage qu'il fait de l'application et des données qu'il manipule. En particulier :</w:t>
      </w:r>
    </w:p>
    <w:p>
      <w:pPr>
        <w:pStyle w:val="ListBullet"/>
      </w:pPr>
      <w:r>
        <w:rPr>
          <w:sz w:val="22"/>
        </w:rPr>
        <w:t>Il veille à ne traiter que les données strictement nécessaires à sa mission.</w:t>
      </w:r>
    </w:p>
    <w:p>
      <w:pPr>
        <w:pStyle w:val="ListBullet"/>
      </w:pPr>
      <w:r>
        <w:rPr>
          <w:sz w:val="22"/>
        </w:rPr>
        <w:t>Il ne partage pas ses accès réseau avec des tiers non autorisés.</w:t>
      </w:r>
    </w:p>
    <w:p>
      <w:pPr>
        <w:pStyle w:val="ListBullet"/>
      </w:pPr>
      <w:r>
        <w:rPr>
          <w:sz w:val="22"/>
        </w:rPr>
        <w:t>Il signale immédiatement à la référente outil tout comportement anormal de l'application ou toute anomalie dans les données produites.</w:t>
      </w:r>
    </w:p>
    <w:p>
      <w:pPr>
        <w:pStyle w:val="ListBullet"/>
      </w:pPr>
      <w:r>
        <w:rPr>
          <w:sz w:val="22"/>
        </w:rPr>
        <w:t>Il stocke les fichiers produits dans des répertoires accessibles uniquement aux personnes habilitées.</w:t>
      </w:r>
    </w:p>
    <w:p>
      <w:r>
        <w:rPr>
          <w:sz w:val="22"/>
        </w:rPr>
        <w:t>La référente outil (Kahina ABBAD) est responsable de la maintenance de l'application, de la mise à jour des dépendances et de la correction des anomalies signalées. Elle ne peut être tenue responsable d'un usage non conforme à la présente charte.</w:t>
      </w:r>
    </w:p>
    <w:p>
      <w:r>
        <w:rPr>
          <w:b/>
          <w:color w:val="1F497D"/>
          <w:sz w:val="24"/>
        </w:rPr>
        <w:t>7. Contact et signalement</w:t>
      </w:r>
    </w:p>
    <w:p>
      <w:r>
        <w:rPr>
          <w:sz w:val="22"/>
        </w:rPr>
        <w:t>Pour toute question relative à l'utilisation de l'outil, tout signalement d'anomalie ou toute demande d'accès, contactez :</w:t>
      </w:r>
    </w:p>
    <w:tbl>
      <w:tblPr>
        <w:tblStyle w:val="TableGrid"/>
        <w:tblW w:type="auto" w:w="0"/>
        <w:tblLook w:firstColumn="1" w:firstRow="1" w:lastColumn="0" w:lastRow="0" w:noHBand="0" w:noVBand="1" w:val="04A0"/>
      </w:tblPr>
      <w:tblGrid>
        <w:gridCol w:w="4561"/>
        <w:gridCol w:w="4561"/>
      </w:tblGrid>
      <w:tr>
        <w:tc>
          <w:tcPr>
            <w:tcW w:type="dxa" w:w="4561"/>
            <w:shd w:val="clear" w:color="auto" w:fill="D6E4F0"/>
          </w:tcPr>
          <w:p>
            <w:r>
              <w:rPr>
                <w:b/>
                <w:sz w:val="22"/>
              </w:rPr>
              <w:t>Champ</w:t>
            </w:r>
          </w:p>
        </w:tc>
        <w:tc>
          <w:tcPr>
            <w:tcW w:type="dxa" w:w="4561"/>
            <w:shd w:val="clear" w:color="auto" w:fill="D6E4F0"/>
          </w:tcPr>
          <w:p>
            <w:r>
              <w:rPr>
                <w:b/>
                <w:sz w:val="22"/>
              </w:rPr>
              <w:t>Information</w:t>
            </w:r>
          </w:p>
        </w:tc>
      </w:tr>
      <w:tr>
        <w:tc>
          <w:tcPr>
            <w:tcW w:type="dxa" w:w="4561"/>
          </w:tcPr>
          <w:p>
            <w:r>
              <w:rPr>
                <w:sz w:val="20"/>
              </w:rPr>
              <w:t>Référente outil</w:t>
            </w:r>
          </w:p>
        </w:tc>
        <w:tc>
          <w:tcPr>
            <w:tcW w:type="dxa" w:w="4561"/>
          </w:tcPr>
          <w:p>
            <w:r>
              <w:rPr>
                <w:sz w:val="20"/>
              </w:rPr>
              <w:t>Kahina ABBAD</w:t>
            </w:r>
          </w:p>
        </w:tc>
      </w:tr>
      <w:tr>
        <w:tc>
          <w:tcPr>
            <w:tcW w:type="dxa" w:w="4561"/>
          </w:tcPr>
          <w:p>
            <w:r>
              <w:rPr>
                <w:sz w:val="20"/>
              </w:rPr>
              <w:t>Email</w:t>
            </w:r>
          </w:p>
        </w:tc>
        <w:tc>
          <w:tcPr>
            <w:tcW w:type="dxa" w:w="4561"/>
          </w:tcPr>
          <w:p>
            <w:r>
              <w:rPr>
                <w:sz w:val="20"/>
              </w:rPr>
              <w:t>kahina.abbad@la-communaute.org</w:t>
            </w:r>
          </w:p>
        </w:tc>
      </w:tr>
      <w:tr>
        <w:tc>
          <w:tcPr>
            <w:tcW w:type="dxa" w:w="4561"/>
          </w:tcPr>
          <w:p>
            <w:r>
              <w:rPr>
                <w:sz w:val="20"/>
              </w:rPr>
              <w:t>Application</w:t>
            </w:r>
          </w:p>
        </w:tc>
        <w:tc>
          <w:tcPr>
            <w:tcW w:type="dxa" w:w="4561"/>
          </w:tcPr>
          <w:p>
            <w:r>
              <w:rPr>
                <w:sz w:val="20"/>
              </w:rPr>
              <w:t>Gestion des Impayés — La Communauté</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