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Note de Sécurité — Gestion des Impayés</w:t>
      </w:r>
    </w:p>
    <w:p>
      <w:pPr>
        <w:jc w:val="center"/>
      </w:pPr>
      <w:r>
        <w:rPr>
          <w:i/>
          <w:color w:val="707070"/>
          <w:sz w:val="20"/>
        </w:rPr>
        <w:t>La Communauté — Version 1.0 — Avril 2026</w:t>
      </w:r>
    </w:p>
    <w:p/>
    <w:p>
      <w:r>
        <w:rPr>
          <w:sz w:val="22"/>
        </w:rPr>
        <w:t>La présente note décrit les mesures de sécurité techniques et organisationnelles mises en place autour de l'application « Gestion des Impayés » de La Communauté. Elle s'adresse aux responsables informatiques et à la direction, dans le cadre de l'évaluation des risques liés au traitement de données à caractère personnel. L'application est utilisée par les agents du service comptabilité.</w:t>
      </w:r>
    </w:p>
    <w:p>
      <w:r>
        <w:rPr>
          <w:b/>
          <w:color w:val="1F497D"/>
          <w:sz w:val="24"/>
        </w:rPr>
        <w:t>1. Modèle de sécurité général</w:t>
      </w:r>
    </w:p>
    <w:p>
      <w:r>
        <w:rPr>
          <w:sz w:val="22"/>
        </w:rPr>
        <w:t>L'application adopte un modèle de sécurité par conception (Security by Design) fondé sur la minimisation de la surface d'attaque. Les choix architecturaux ont été faits pour réduire au maximum les risques :</w:t>
      </w:r>
    </w:p>
    <w:p>
      <w:pPr>
        <w:pStyle w:val="ListBullet"/>
      </w:pPr>
      <w:r>
        <w:rPr>
          <w:sz w:val="22"/>
        </w:rPr>
        <w:t>Aucune connexion Internet sortante ou entrante.</w:t>
      </w:r>
    </w:p>
    <w:p>
      <w:pPr>
        <w:pStyle w:val="ListBullet"/>
      </w:pPr>
      <w:r>
        <w:rPr>
          <w:sz w:val="22"/>
        </w:rPr>
        <w:t>Aucune base de données (pas de risque d'injection SQL ou de vol de base).</w:t>
      </w:r>
    </w:p>
    <w:p>
      <w:pPr>
        <w:pStyle w:val="ListBullet"/>
      </w:pPr>
      <w:r>
        <w:rPr>
          <w:sz w:val="22"/>
        </w:rPr>
        <w:t>Aucune API externe (pas de clé d'API, pas de dépendance à un service tiers).</w:t>
      </w:r>
    </w:p>
    <w:p>
      <w:pPr>
        <w:pStyle w:val="ListBullet"/>
      </w:pPr>
      <w:r>
        <w:rPr>
          <w:sz w:val="22"/>
        </w:rPr>
        <w:t>Traitement en mémoire vive uniquement : les données des bénéficiaires ne transitent pas sur le réseau.</w:t>
      </w:r>
    </w:p>
    <w:p>
      <w:pPr>
        <w:pStyle w:val="ListBullet"/>
      </w:pPr>
      <w:r>
        <w:rPr>
          <w:sz w:val="22"/>
        </w:rPr>
        <w:t>Serveur local uniquement : http://localhost:5000 n'est accessible que depuis le poste où tourne l'application.</w:t>
      </w:r>
    </w:p>
    <w:p>
      <w:r>
        <w:rPr>
          <w:b/>
          <w:color w:val="1F497D"/>
          <w:sz w:val="24"/>
        </w:rPr>
        <w:t>2. Contrôle d'accès</w:t>
      </w:r>
    </w:p>
    <w:p>
      <w:r>
        <w:rPr>
          <w:sz w:val="22"/>
        </w:rPr>
        <w:t>Le contrôle d'accès repose sur deux niveaux complémentaires :</w:t>
      </w:r>
    </w:p>
    <w:p>
      <w:r>
        <w:rPr>
          <w:sz w:val="22"/>
        </w:rPr>
        <w:t>Niveau 1 — Accès réseau</w:t>
      </w:r>
    </w:p>
    <w:p>
      <w:r>
        <w:rPr>
          <w:sz w:val="22"/>
        </w:rPr>
        <w:t>Le lanceur GestionImpayes.bat est hébergé sur le partage réseau sécurisé de La Communauté (Z:\DOC\RESPONSABLES DE SECTEUR\KAHINA\Projets\gestion-Impayés\). Seuls les agents disposant des droits d'accès à ce partage réseau peuvent lancer l'application. La gestion de ces droits relève de la politique de sécurité informatique de La Communauté (Active Directory ou équivalent).</w:t>
      </w:r>
    </w:p>
    <w:p>
      <w:r>
        <w:rPr>
          <w:sz w:val="22"/>
        </w:rPr>
        <w:t>Niveau 2 — Isolation localhost</w:t>
      </w:r>
    </w:p>
    <w:p>
      <w:r>
        <w:rPr>
          <w:sz w:val="22"/>
        </w:rPr>
        <w:t>L'application écoute uniquement sur 127.0.0.1:5000 (localhost). Elle n'est pas accessible depuis d'autres machines du réseau, ni depuis Internet. Un utilisateur sur un autre poste ne peut pas se connecter à l'application lancée sur un poste distant.</w:t>
      </w:r>
    </w:p>
    <w:p>
      <w:r>
        <w:rPr>
          <w:sz w:val="22"/>
        </w:rPr>
        <w:t>Note : l'application ne dispose pas d'authentification par identifiant/mot de passe. Ce choix est volontaire : l'accès est contrôlé par les droits réseau, ce qui est adapté à un outil interne réservé aux agents du service comptabilité, utilisé sur un réseau d'entreprise sécurisé.</w:t>
      </w:r>
    </w:p>
    <w:p>
      <w:r>
        <w:rPr>
          <w:b/>
          <w:color w:val="1F497D"/>
          <w:sz w:val="24"/>
        </w:rPr>
        <w:t>3. Absence d'API externe et de transmission de données</w:t>
      </w:r>
    </w:p>
    <w:p>
      <w:r>
        <w:rPr>
          <w:sz w:val="22"/>
        </w:rPr>
        <w:t>L'application ne communique avec aucun service externe. Il n'existe aucune clé d'API, aucun appel HTTP sortant, aucun webhook, aucun service d'authentification tierce (OAuth, etc.). Toutes les opérations sont auto-contenues sur le poste local.</w:t>
      </w:r>
    </w:p>
    <w:p>
      <w:r>
        <w:rPr>
          <w:sz w:val="22"/>
        </w:rPr>
        <w:t>Ce point est essentiel au regard du RGPD : aucune donnée personnelle des bénéficiaires ne quitte l'infrastructure de La Communauté via l'application.</w:t>
      </w:r>
    </w:p>
    <w:p>
      <w:r>
        <w:rPr>
          <w:b/>
          <w:color w:val="1F497D"/>
          <w:sz w:val="24"/>
        </w:rPr>
        <w:t>4. Gestion des fichiers temporaires</w:t>
      </w:r>
    </w:p>
    <w:p>
      <w:r>
        <w:rPr>
          <w:sz w:val="22"/>
        </w:rPr>
        <w:t>Les fichiers téléversés dans le formulaire web (export comptable, fichier existant) sont traités exclusivement en mémoire. Flask utilise des objets de type FileStorage (wrappers en mémoire) sans écriture sur disque. Aucun fichier temporaire contenant des données personnelles n'est créé dans le répertoire temporaire du système.</w:t>
      </w:r>
    </w:p>
    <w:p>
      <w:r>
        <w:rPr>
          <w:sz w:val="22"/>
        </w:rPr>
        <w:t>Seul le fichier Excel de sortie est écrit sur disque, dans le dossier output/ du projet, le temps de le proposer au téléchargement. Ce fichier est immédiatement accessible à l'utilisateur via le lien de téléchargement et peut être supprimé manuellement après usage.</w:t>
      </w:r>
    </w:p>
    <w:p>
      <w:r>
        <w:rPr>
          <w:b/>
          <w:color w:val="1F497D"/>
          <w:sz w:val="24"/>
        </w:rPr>
        <w:t>5. Intégrité des données</w:t>
      </w:r>
    </w:p>
    <w:p>
      <w:r>
        <w:rPr>
          <w:sz w:val="22"/>
        </w:rPr>
        <w:t>L'intégrité des données est assurée par plusieurs mécanismes :</w:t>
      </w:r>
    </w:p>
    <w:p>
      <w:pPr>
        <w:pStyle w:val="ListBullet"/>
      </w:pPr>
      <w:r>
        <w:rPr>
          <w:sz w:val="22"/>
        </w:rPr>
        <w:t>Validation des colonnes d'entrée avant tout traitement (colonnes manquantes → erreur explicite).</w:t>
      </w:r>
    </w:p>
    <w:p>
      <w:pPr>
        <w:pStyle w:val="ListBullet"/>
      </w:pPr>
      <w:r>
        <w:rPr>
          <w:sz w:val="22"/>
        </w:rPr>
        <w:t>Archivage automatique de l'ancien fichier avant toute actualisation (restauration possible).</w:t>
      </w:r>
    </w:p>
    <w:p>
      <w:pPr>
        <w:pStyle w:val="ListBullet"/>
      </w:pPr>
      <w:r>
        <w:rPr>
          <w:sz w:val="22"/>
        </w:rPr>
        <w:t>Structure fixe de 14 colonnes : le générateur refuse de produire un fichier ne respectant pas cette structure.</w:t>
      </w:r>
    </w:p>
    <w:p>
      <w:pPr>
        <w:pStyle w:val="ListBullet"/>
      </w:pPr>
      <w:r>
        <w:rPr>
          <w:sz w:val="22"/>
        </w:rPr>
        <w:t>Fusion sur clé primaire stricte (Compte Tiers) : pas de fusion approximative ou floue.</w:t>
      </w:r>
    </w:p>
    <w:p>
      <w:r>
        <w:rPr>
          <w:b/>
          <w:color w:val="1F497D"/>
          <w:sz w:val="24"/>
        </w:rPr>
        <w:t>6. Maintenance et mises à jour</w:t>
      </w:r>
    </w:p>
    <w:p>
      <w:r>
        <w:rPr>
          <w:sz w:val="22"/>
        </w:rPr>
        <w:t>La maintenance de l'application est assurée par Kahina ABBAD. Les mises à jour des dépendances Python (Flask, pandas, openpyxl, Waitress) doivent être effectuées régulièrement pour corriger les éventuelles vulnérabilités de sécurité dans ces bibliothèques, même si le risque est faible compte tenu de l'isolation réseau de l'outil.</w:t>
      </w:r>
    </w:p>
    <w:p>
      <w:r>
        <w:rPr>
          <w:sz w:val="22"/>
        </w:rPr>
        <w:t>Procédure de mise à jour recommandée :</w:t>
      </w:r>
    </w:p>
    <w:p>
      <w:pPr>
        <w:pStyle w:val="ListBullet"/>
      </w:pPr>
      <w:r>
        <w:rPr>
          <w:sz w:val="22"/>
        </w:rPr>
        <w:t>Vérifier les nouvelles versions disponibles : pip list --outdated.</w:t>
      </w:r>
    </w:p>
    <w:p>
      <w:pPr>
        <w:pStyle w:val="ListBullet"/>
      </w:pPr>
      <w:r>
        <w:rPr>
          <w:sz w:val="22"/>
        </w:rPr>
        <w:t>Mettre à jour le fichier requirements.txt.</w:t>
      </w:r>
    </w:p>
    <w:p>
      <w:pPr>
        <w:pStyle w:val="ListBullet"/>
      </w:pPr>
      <w:r>
        <w:rPr>
          <w:sz w:val="22"/>
        </w:rPr>
        <w:t>Exécuter pip install -r requirements.txt sur le poste serveur.</w:t>
      </w:r>
    </w:p>
    <w:p>
      <w:pPr>
        <w:pStyle w:val="ListBullet"/>
      </w:pPr>
      <w:r>
        <w:rPr>
          <w:sz w:val="22"/>
        </w:rPr>
        <w:t>Relancer l'application et vérifier son bon fonctionnement via les tests : python -m pytest scripts/test_generateur.py -v.</w:t>
      </w:r>
    </w:p>
    <w:p>
      <w:r>
        <w:rPr>
          <w:sz w:val="22"/>
        </w:rPr>
        <w:t>En cas d'incident (comportement anormal, données corrompues, accès non autorisé suspecté), l'application doit être arrêtée immédiatement (fermeture de la console) et l'incident signalé au responsable informatique de La Communauté.</w:t>
      </w:r>
    </w:p>
    <w:p>
      <w:r>
        <w:rPr>
          <w:b/>
          <w:color w:val="1F497D"/>
          <w:sz w:val="24"/>
        </w:rPr>
        <w:t>7. Synthèse des risques résiduels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6E4F0"/>
          </w:tcPr>
          <w:p>
            <w:r>
              <w:rPr>
                <w:b/>
                <w:sz w:val="22"/>
              </w:rPr>
              <w:t>Risque</w:t>
            </w:r>
          </w:p>
        </w:tc>
        <w:tc>
          <w:tcPr>
            <w:tcW w:type="dxa" w:w="2280"/>
            <w:shd w:val="clear" w:color="auto" w:fill="D6E4F0"/>
          </w:tcPr>
          <w:p>
            <w:r>
              <w:rPr>
                <w:b/>
                <w:sz w:val="22"/>
              </w:rPr>
              <w:t>Probabilité</w:t>
            </w:r>
          </w:p>
        </w:tc>
        <w:tc>
          <w:tcPr>
            <w:tcW w:type="dxa" w:w="2280"/>
            <w:shd w:val="clear" w:color="auto" w:fill="D6E4F0"/>
          </w:tcPr>
          <w:p>
            <w:r>
              <w:rPr>
                <w:b/>
                <w:sz w:val="22"/>
              </w:rPr>
              <w:t>Impact</w:t>
            </w:r>
          </w:p>
        </w:tc>
        <w:tc>
          <w:tcPr>
            <w:tcW w:type="dxa" w:w="2280"/>
            <w:shd w:val="clear" w:color="auto" w:fill="D6E4F0"/>
          </w:tcPr>
          <w:p>
            <w:r>
              <w:rPr>
                <w:b/>
                <w:sz w:val="22"/>
              </w:rPr>
              <w:t>Mesure d'atténuation</w:t>
            </w:r>
          </w:p>
        </w:tc>
      </w:tr>
      <w:tr>
        <w:tc>
          <w:tcPr>
            <w:tcW w:type="dxa" w:w="2280"/>
          </w:tcPr>
          <w:p>
            <w:r>
              <w:rPr>
                <w:sz w:val="20"/>
              </w:rPr>
              <w:t>Accès non autorisé via le réseau</w:t>
            </w:r>
          </w:p>
        </w:tc>
        <w:tc>
          <w:tcPr>
            <w:tcW w:type="dxa" w:w="2280"/>
          </w:tcPr>
          <w:p>
            <w:r>
              <w:rPr>
                <w:sz w:val="20"/>
              </w:rPr>
              <w:t>Faible</w:t>
            </w:r>
          </w:p>
        </w:tc>
        <w:tc>
          <w:tcPr>
            <w:tcW w:type="dxa" w:w="2280"/>
          </w:tcPr>
          <w:p>
            <w:r>
              <w:rPr>
                <w:sz w:val="20"/>
              </w:rPr>
              <w:t>Moyen</w:t>
            </w:r>
          </w:p>
        </w:tc>
        <w:tc>
          <w:tcPr>
            <w:tcW w:type="dxa" w:w="2280"/>
          </w:tcPr>
          <w:p>
            <w:r>
              <w:rPr>
                <w:sz w:val="20"/>
              </w:rPr>
              <w:t>Isolation localhost + droits réseau AD</w:t>
            </w:r>
          </w:p>
        </w:tc>
      </w:tr>
      <w:tr>
        <w:tc>
          <w:tcPr>
            <w:tcW w:type="dxa" w:w="2280"/>
          </w:tcPr>
          <w:p>
            <w:r>
              <w:rPr>
                <w:sz w:val="20"/>
              </w:rPr>
              <w:t>Vol de fichier Excel produit</w:t>
            </w:r>
          </w:p>
        </w:tc>
        <w:tc>
          <w:tcPr>
            <w:tcW w:type="dxa" w:w="2280"/>
          </w:tcPr>
          <w:p>
            <w:r>
              <w:rPr>
                <w:sz w:val="20"/>
              </w:rPr>
              <w:t>Faible</w:t>
            </w:r>
          </w:p>
        </w:tc>
        <w:tc>
          <w:tcPr>
            <w:tcW w:type="dxa" w:w="2280"/>
          </w:tcPr>
          <w:p>
            <w:r>
              <w:rPr>
                <w:sz w:val="20"/>
              </w:rPr>
              <w:t>Moyen</w:t>
            </w:r>
          </w:p>
        </w:tc>
        <w:tc>
          <w:tcPr>
            <w:tcW w:type="dxa" w:w="2280"/>
          </w:tcPr>
          <w:p>
            <w:r>
              <w:rPr>
                <w:sz w:val="20"/>
              </w:rPr>
              <w:t>Stockage sur partage réseau sécurisé</w:t>
            </w:r>
          </w:p>
        </w:tc>
      </w:tr>
      <w:tr>
        <w:tc>
          <w:tcPr>
            <w:tcW w:type="dxa" w:w="2280"/>
          </w:tcPr>
          <w:p>
            <w:r>
              <w:rPr>
                <w:sz w:val="20"/>
              </w:rPr>
              <w:t>Vulnérabilité dans les dépendances</w:t>
            </w:r>
          </w:p>
        </w:tc>
        <w:tc>
          <w:tcPr>
            <w:tcW w:type="dxa" w:w="2280"/>
          </w:tcPr>
          <w:p>
            <w:r>
              <w:rPr>
                <w:sz w:val="20"/>
              </w:rPr>
              <w:t>Faible</w:t>
            </w:r>
          </w:p>
        </w:tc>
        <w:tc>
          <w:tcPr>
            <w:tcW w:type="dxa" w:w="2280"/>
          </w:tcPr>
          <w:p>
            <w:r>
              <w:rPr>
                <w:sz w:val="20"/>
              </w:rPr>
              <w:t>Faible</w:t>
            </w:r>
          </w:p>
        </w:tc>
        <w:tc>
          <w:tcPr>
            <w:tcW w:type="dxa" w:w="2280"/>
          </w:tcPr>
          <w:p>
            <w:r>
              <w:rPr>
                <w:sz w:val="20"/>
              </w:rPr>
              <w:t>Mise à jour régulière des paquets</w:t>
            </w:r>
          </w:p>
        </w:tc>
      </w:tr>
      <w:tr>
        <w:tc>
          <w:tcPr>
            <w:tcW w:type="dxa" w:w="2280"/>
          </w:tcPr>
          <w:p>
            <w:r>
              <w:rPr>
                <w:sz w:val="20"/>
              </w:rPr>
              <w:t>Erreur de traitement (données corrompues)</w:t>
            </w:r>
          </w:p>
        </w:tc>
        <w:tc>
          <w:tcPr>
            <w:tcW w:type="dxa" w:w="2280"/>
          </w:tcPr>
          <w:p>
            <w:r>
              <w:rPr>
                <w:sz w:val="20"/>
              </w:rPr>
              <w:t>Faible</w:t>
            </w:r>
          </w:p>
        </w:tc>
        <w:tc>
          <w:tcPr>
            <w:tcW w:type="dxa" w:w="2280"/>
          </w:tcPr>
          <w:p>
            <w:r>
              <w:rPr>
                <w:sz w:val="20"/>
              </w:rPr>
              <w:t>Faible</w:t>
            </w:r>
          </w:p>
        </w:tc>
        <w:tc>
          <w:tcPr>
            <w:tcW w:type="dxa" w:w="2280"/>
          </w:tcPr>
          <w:p>
            <w:r>
              <w:rPr>
                <w:sz w:val="20"/>
              </w:rPr>
              <w:t>Archivage automatique, tests automatisés</w:t>
            </w:r>
          </w:p>
        </w:tc>
      </w:tr>
      <w:tr>
        <w:tc>
          <w:tcPr>
            <w:tcW w:type="dxa" w:w="2280"/>
          </w:tcPr>
          <w:p>
            <w:r>
              <w:rPr>
                <w:sz w:val="20"/>
              </w:rPr>
              <w:t>Transmission accidentelle de données</w:t>
            </w:r>
          </w:p>
        </w:tc>
        <w:tc>
          <w:tcPr>
            <w:tcW w:type="dxa" w:w="2280"/>
          </w:tcPr>
          <w:p>
            <w:r>
              <w:rPr>
                <w:sz w:val="20"/>
              </w:rPr>
              <w:t>Très faible</w:t>
            </w:r>
          </w:p>
        </w:tc>
        <w:tc>
          <w:tcPr>
            <w:tcW w:type="dxa" w:w="2280"/>
          </w:tcPr>
          <w:p>
            <w:r>
              <w:rPr>
                <w:sz w:val="20"/>
              </w:rPr>
              <w:t>Fort</w:t>
            </w:r>
          </w:p>
        </w:tc>
        <w:tc>
          <w:tcPr>
            <w:tcW w:type="dxa" w:w="2280"/>
          </w:tcPr>
          <w:p>
            <w:r>
              <w:rPr>
                <w:sz w:val="20"/>
              </w:rPr>
              <w:t>Pas d'API externe, pas de réseau</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