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59" w:type="dxa"/>
        <w:tblCellSpacing w:w="15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636"/>
        <w:gridCol w:w="1616"/>
        <w:gridCol w:w="1299"/>
        <w:gridCol w:w="2079"/>
        <w:gridCol w:w="3298"/>
      </w:tblGrid>
      <w:tr w:rsidR="00546FE3" w:rsidRPr="00546FE3" w14:paraId="47A6B607" w14:textId="77777777" w:rsidTr="00546FE3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0E658460" w14:textId="77777777" w:rsidR="00546FE3" w:rsidRPr="00546FE3" w:rsidRDefault="00546FE3" w:rsidP="00546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7941D01" w14:textId="77777777" w:rsidR="00546FE3" w:rsidRPr="00546FE3" w:rsidRDefault="00546FE3" w:rsidP="00546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1586" w:type="dxa"/>
            <w:vAlign w:val="center"/>
            <w:hideMark/>
          </w:tcPr>
          <w:p w14:paraId="3829B02A" w14:textId="77777777" w:rsidR="00546FE3" w:rsidRPr="00546FE3" w:rsidRDefault="00546FE3" w:rsidP="00546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2581E50" w14:textId="77777777" w:rsidR="00546FE3" w:rsidRPr="00546FE3" w:rsidRDefault="00546FE3" w:rsidP="00546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8FC1D8" w14:textId="77777777" w:rsidR="00546FE3" w:rsidRPr="00546FE3" w:rsidRDefault="00546FE3" w:rsidP="00546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WhatsApp Commands</w:t>
            </w:r>
          </w:p>
        </w:tc>
        <w:tc>
          <w:tcPr>
            <w:tcW w:w="0" w:type="auto"/>
            <w:vAlign w:val="center"/>
            <w:hideMark/>
          </w:tcPr>
          <w:p w14:paraId="1B0C730F" w14:textId="77777777" w:rsidR="00546FE3" w:rsidRPr="00546FE3" w:rsidRDefault="00546FE3" w:rsidP="00546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Functions</w:t>
            </w:r>
          </w:p>
        </w:tc>
      </w:tr>
      <w:tr w:rsidR="00546FE3" w:rsidRPr="00546FE3" w14:paraId="5A4E70EB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1A2117E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Aidan</w:t>
            </w:r>
          </w:p>
        </w:tc>
        <w:tc>
          <w:tcPr>
            <w:tcW w:w="0" w:type="auto"/>
            <w:vAlign w:val="center"/>
            <w:hideMark/>
          </w:tcPr>
          <w:p w14:paraId="2185FEA5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Chief of Staff + Personal Assistant</w:t>
            </w:r>
          </w:p>
        </w:tc>
        <w:tc>
          <w:tcPr>
            <w:tcW w:w="1586" w:type="dxa"/>
            <w:vAlign w:val="center"/>
            <w:hideMark/>
          </w:tcPr>
          <w:p w14:paraId="2C86BAB0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Cross-entity</w:t>
            </w:r>
          </w:p>
        </w:tc>
        <w:tc>
          <w:tcPr>
            <w:tcW w:w="0" w:type="auto"/>
            <w:vAlign w:val="center"/>
            <w:hideMark/>
          </w:tcPr>
          <w:p w14:paraId="47B4B500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7A908A47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Aidan help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Aidan brief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Aidan status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Aidan note [text]</w:t>
            </w:r>
          </w:p>
        </w:tc>
        <w:tc>
          <w:tcPr>
            <w:tcW w:w="0" w:type="auto"/>
            <w:vAlign w:val="center"/>
            <w:hideMark/>
          </w:tcPr>
          <w:p w14:paraId="1615B85C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Routes all agent commands · Morning brief · Task intake · Escalates deadlines · End of day wrap · Aggregates all agent outputs</w:t>
            </w:r>
          </w:p>
        </w:tc>
      </w:tr>
      <w:tr w:rsidR="00546FE3" w:rsidRPr="00546FE3" w14:paraId="1EE7BBF3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E4EDCDD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Jordan</w:t>
            </w:r>
          </w:p>
        </w:tc>
        <w:tc>
          <w:tcPr>
            <w:tcW w:w="0" w:type="auto"/>
            <w:vAlign w:val="center"/>
            <w:hideMark/>
          </w:tcPr>
          <w:p w14:paraId="027BB692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Grant Writer</w:t>
            </w:r>
          </w:p>
        </w:tc>
        <w:tc>
          <w:tcPr>
            <w:tcW w:w="1586" w:type="dxa"/>
            <w:vAlign w:val="center"/>
            <w:hideMark/>
          </w:tcPr>
          <w:p w14:paraId="5F17BFED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EAF</w:t>
            </w:r>
          </w:p>
        </w:tc>
        <w:tc>
          <w:tcPr>
            <w:tcW w:w="0" w:type="auto"/>
            <w:vAlign w:val="center"/>
            <w:hideMark/>
          </w:tcPr>
          <w:p w14:paraId="2D2ACC7B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5DF34BF2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Jordan </w:t>
            </w:r>
            <w:proofErr w:type="gramStart"/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grant</w:t>
            </w:r>
            <w:proofErr w:type="gramEnd"/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Jordan grant detail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Jordan EARN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Jordan status</w:t>
            </w:r>
          </w:p>
        </w:tc>
        <w:tc>
          <w:tcPr>
            <w:tcW w:w="0" w:type="auto"/>
            <w:vAlign w:val="center"/>
            <w:hideMark/>
          </w:tcPr>
          <w:p w14:paraId="59B564C5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Scans Maryland Grants folder · Scores EAF fit 0–100% · Drafts Letters of Intent · Flags eligibility risks · Daily 7AM scan · Baltimore City + DMV grant portals</w:t>
            </w:r>
          </w:p>
        </w:tc>
      </w:tr>
      <w:tr w:rsidR="00546FE3" w:rsidRPr="00546FE3" w14:paraId="2C49FE2C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B221FB6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Scout</w:t>
            </w:r>
          </w:p>
        </w:tc>
        <w:tc>
          <w:tcPr>
            <w:tcW w:w="0" w:type="auto"/>
            <w:vAlign w:val="center"/>
            <w:hideMark/>
          </w:tcPr>
          <w:p w14:paraId="27275911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Development + Sales Research</w:t>
            </w:r>
          </w:p>
        </w:tc>
        <w:tc>
          <w:tcPr>
            <w:tcW w:w="1586" w:type="dxa"/>
            <w:vAlign w:val="center"/>
            <w:hideMark/>
          </w:tcPr>
          <w:p w14:paraId="2B90B3C0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694C86AB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Today</w:t>
            </w:r>
          </w:p>
        </w:tc>
        <w:tc>
          <w:tcPr>
            <w:tcW w:w="0" w:type="auto"/>
            <w:vAlign w:val="center"/>
            <w:hideMark/>
          </w:tcPr>
          <w:p w14:paraId="37D7379F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Scout DMV bridges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Scout BGE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Scout RFP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Scout targets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Scout status</w:t>
            </w:r>
          </w:p>
        </w:tc>
        <w:tc>
          <w:tcPr>
            <w:tcW w:w="0" w:type="auto"/>
            <w:vAlign w:val="center"/>
            <w:hideMark/>
          </w:tcPr>
          <w:p w14:paraId="567D9F02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Monitors MD </w:t>
            </w:r>
            <w:proofErr w:type="spellStart"/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eMMA</w:t>
            </w:r>
            <w:proofErr w:type="spellEnd"/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procurement · </w:t>
            </w:r>
            <w:proofErr w:type="gramStart"/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Researches</w:t>
            </w:r>
            <w:proofErr w:type="gramEnd"/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DMV target customers · Tracks 24 MD counties + Baltimore City · Drafts capability statements · Scores leads · Writes BD targets to </w:t>
            </w:r>
            <w:proofErr w:type="spellStart"/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</w:t>
            </w:r>
            <w:proofErr w:type="spellEnd"/>
          </w:p>
        </w:tc>
      </w:tr>
      <w:tr w:rsidR="00546FE3" w:rsidRPr="00546FE3" w14:paraId="6E6AD727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DA8ADC9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Iris</w:t>
            </w:r>
          </w:p>
        </w:tc>
        <w:tc>
          <w:tcPr>
            <w:tcW w:w="0" w:type="auto"/>
            <w:vAlign w:val="center"/>
            <w:hideMark/>
          </w:tcPr>
          <w:p w14:paraId="3B1FBCA8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+ Deadlines Monitor</w:t>
            </w:r>
          </w:p>
        </w:tc>
        <w:tc>
          <w:tcPr>
            <w:tcW w:w="1586" w:type="dxa"/>
            <w:vAlign w:val="center"/>
            <w:hideMark/>
          </w:tcPr>
          <w:p w14:paraId="4B953B31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EAF/FP</w:t>
            </w:r>
          </w:p>
        </w:tc>
        <w:tc>
          <w:tcPr>
            <w:tcW w:w="0" w:type="auto"/>
            <w:vAlign w:val="center"/>
            <w:hideMark/>
          </w:tcPr>
          <w:p w14:paraId="370CAF8D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Today</w:t>
            </w:r>
          </w:p>
        </w:tc>
        <w:tc>
          <w:tcPr>
            <w:tcW w:w="0" w:type="auto"/>
            <w:vAlign w:val="center"/>
            <w:hideMark/>
          </w:tcPr>
          <w:p w14:paraId="7CB78B83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Iris deadlines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Iris MEIA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Iris compliance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Iris status</w:t>
            </w:r>
          </w:p>
        </w:tc>
        <w:tc>
          <w:tcPr>
            <w:tcW w:w="0" w:type="auto"/>
            <w:vAlign w:val="center"/>
            <w:hideMark/>
          </w:tcPr>
          <w:p w14:paraId="287011E2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all deadlines · MEIA April 14 alert · Form 1023 timeline · MBE + FAA Part 107 renewal · 21-day alert rule · Daily 8AM digest to Aidan</w:t>
            </w:r>
          </w:p>
        </w:tc>
      </w:tr>
      <w:tr w:rsidR="00546FE3" w:rsidRPr="00546FE3" w14:paraId="14639024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3CCDB06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Atlas</w:t>
            </w:r>
          </w:p>
        </w:tc>
        <w:tc>
          <w:tcPr>
            <w:tcW w:w="0" w:type="auto"/>
            <w:vAlign w:val="center"/>
            <w:hideMark/>
          </w:tcPr>
          <w:p w14:paraId="34FB1F5E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Architect</w:t>
            </w:r>
          </w:p>
        </w:tc>
        <w:tc>
          <w:tcPr>
            <w:tcW w:w="1586" w:type="dxa"/>
            <w:vAlign w:val="center"/>
            <w:hideMark/>
          </w:tcPr>
          <w:p w14:paraId="20EF16BE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FP/MONK</w:t>
            </w:r>
          </w:p>
        </w:tc>
        <w:tc>
          <w:tcPr>
            <w:tcW w:w="0" w:type="auto"/>
            <w:vAlign w:val="center"/>
            <w:hideMark/>
          </w:tcPr>
          <w:p w14:paraId="0F483657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🟡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Tuesday</w:t>
            </w:r>
          </w:p>
        </w:tc>
        <w:tc>
          <w:tcPr>
            <w:tcW w:w="0" w:type="auto"/>
            <w:vAlign w:val="center"/>
            <w:hideMark/>
          </w:tcPr>
          <w:p w14:paraId="60596DBD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Atlas SBIR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Atlas MONK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Atlas BVLOS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Atlas Kott prep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Atlas status</w:t>
            </w:r>
          </w:p>
        </w:tc>
        <w:tc>
          <w:tcPr>
            <w:tcW w:w="0" w:type="auto"/>
            <w:vAlign w:val="center"/>
            <w:hideMark/>
          </w:tcPr>
          <w:p w14:paraId="61D3C619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Drafts SBIR Phase I sections · MONK 1.0 architecture docs · AKMS specifications · FAA BVLOS compliance · Dr. Kott advisory prep · ARL research monitoring</w:t>
            </w:r>
          </w:p>
        </w:tc>
      </w:tr>
      <w:tr w:rsidR="00546FE3" w:rsidRPr="00546FE3" w14:paraId="0F48082E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A9D6D80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Nova</w:t>
            </w:r>
          </w:p>
        </w:tc>
        <w:tc>
          <w:tcPr>
            <w:tcW w:w="0" w:type="auto"/>
            <w:vAlign w:val="center"/>
            <w:hideMark/>
          </w:tcPr>
          <w:p w14:paraId="147E98BA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Manager</w:t>
            </w:r>
          </w:p>
        </w:tc>
        <w:tc>
          <w:tcPr>
            <w:tcW w:w="1586" w:type="dxa"/>
            <w:vAlign w:val="center"/>
            <w:hideMark/>
          </w:tcPr>
          <w:p w14:paraId="57B5C726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73A5E3C1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🟡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Tuesday</w:t>
            </w:r>
          </w:p>
        </w:tc>
        <w:tc>
          <w:tcPr>
            <w:tcW w:w="0" w:type="auto"/>
            <w:vAlign w:val="center"/>
            <w:hideMark/>
          </w:tcPr>
          <w:p w14:paraId="3E1F52FB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Nova contracts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Nova pipeline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Nova </w:t>
            </w:r>
            <w:proofErr w:type="gramStart"/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follow</w:t>
            </w:r>
            <w:proofErr w:type="gramEnd"/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up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Nova status</w:t>
            </w:r>
          </w:p>
        </w:tc>
        <w:tc>
          <w:tcPr>
            <w:tcW w:w="0" w:type="auto"/>
            <w:vAlign w:val="center"/>
            <w:hideMark/>
          </w:tcPr>
          <w:p w14:paraId="52BF485D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capability statement submissions · Monitors contract SLA deadlines · Drafts follow-up emails · Writes to OneNote via MCP · Processes Scout research into proposals</w:t>
            </w:r>
          </w:p>
        </w:tc>
      </w:tr>
      <w:tr w:rsidR="00546FE3" w:rsidRPr="00546FE3" w14:paraId="3E46ADD2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96E91DE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Sage</w:t>
            </w:r>
          </w:p>
        </w:tc>
        <w:tc>
          <w:tcPr>
            <w:tcW w:w="0" w:type="auto"/>
            <w:vAlign w:val="center"/>
            <w:hideMark/>
          </w:tcPr>
          <w:p w14:paraId="01DEE498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Equity Advocate + EAF Programs</w:t>
            </w:r>
          </w:p>
        </w:tc>
        <w:tc>
          <w:tcPr>
            <w:tcW w:w="1586" w:type="dxa"/>
            <w:vAlign w:val="center"/>
            <w:hideMark/>
          </w:tcPr>
          <w:p w14:paraId="5EF440C2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EAF</w:t>
            </w:r>
          </w:p>
        </w:tc>
        <w:tc>
          <w:tcPr>
            <w:tcW w:w="0" w:type="auto"/>
            <w:vAlign w:val="center"/>
            <w:hideMark/>
          </w:tcPr>
          <w:p w14:paraId="5B652C64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🟡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Wednesday</w:t>
            </w:r>
          </w:p>
        </w:tc>
        <w:tc>
          <w:tcPr>
            <w:tcW w:w="0" w:type="auto"/>
            <w:vAlign w:val="center"/>
            <w:hideMark/>
          </w:tcPr>
          <w:p w14:paraId="5364E7F8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Sage CAKO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Sage board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Sage compliance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Sage outcomes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Sage status</w:t>
            </w:r>
          </w:p>
        </w:tc>
        <w:tc>
          <w:tcPr>
            <w:tcW w:w="0" w:type="auto"/>
            <w:vAlign w:val="center"/>
            <w:hideMark/>
          </w:tcPr>
          <w:p w14:paraId="612407A8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CAKO cohort tracking · Talent Pipeline Agreement compliance · Workforce outcome metrics · Board communication drafts · IRS private benefit rule monitoring · Mission alignment audits</w:t>
            </w:r>
          </w:p>
        </w:tc>
      </w:tr>
      <w:tr w:rsidR="00546FE3" w:rsidRPr="00546FE3" w14:paraId="4114EA04" w14:textId="77777777" w:rsidTr="00546FE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8871972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Pulse</w:t>
            </w:r>
          </w:p>
        </w:tc>
        <w:tc>
          <w:tcPr>
            <w:tcW w:w="0" w:type="auto"/>
            <w:vAlign w:val="center"/>
            <w:hideMark/>
          </w:tcPr>
          <w:p w14:paraId="31E8012F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Monitor</w:t>
            </w:r>
          </w:p>
        </w:tc>
        <w:tc>
          <w:tcPr>
            <w:tcW w:w="1586" w:type="dxa"/>
            <w:vAlign w:val="center"/>
            <w:hideMark/>
          </w:tcPr>
          <w:p w14:paraId="2C822897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Cross-entity</w:t>
            </w:r>
          </w:p>
        </w:tc>
        <w:tc>
          <w:tcPr>
            <w:tcW w:w="0" w:type="auto"/>
            <w:vAlign w:val="center"/>
            <w:hideMark/>
          </w:tcPr>
          <w:p w14:paraId="185BEB65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🟡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Wednesday</w:t>
            </w:r>
          </w:p>
        </w:tc>
        <w:tc>
          <w:tcPr>
            <w:tcW w:w="0" w:type="auto"/>
            <w:vAlign w:val="center"/>
            <w:hideMark/>
          </w:tcPr>
          <w:p w14:paraId="1962408F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Pulse financial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Pulse EAF budget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Pulse FP revenue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Pulse API costs</w:t>
            </w: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6F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Pulse status</w:t>
            </w:r>
          </w:p>
        </w:tc>
        <w:tc>
          <w:tcPr>
            <w:tcW w:w="0" w:type="auto"/>
            <w:vAlign w:val="center"/>
            <w:hideMark/>
          </w:tcPr>
          <w:p w14:paraId="695370A2" w14:textId="77777777" w:rsidR="00546FE3" w:rsidRPr="00546FE3" w:rsidRDefault="00546FE3" w:rsidP="00546F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F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FP revenue vs milestones · EAF grant drawdown schedules · Flags EAF/FP financial separation risks · Monthly summary to Aidan · API credit balance monitoring</w:t>
            </w:r>
          </w:p>
        </w:tc>
      </w:tr>
    </w:tbl>
    <w:p w14:paraId="53EA6CC0" w14:textId="77777777" w:rsidR="0010134C" w:rsidRDefault="0010134C"/>
    <w:sectPr w:rsidR="00101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3"/>
    <w:rsid w:val="0010134C"/>
    <w:rsid w:val="00256412"/>
    <w:rsid w:val="00546FE3"/>
    <w:rsid w:val="00675B99"/>
    <w:rsid w:val="00AB0416"/>
    <w:rsid w:val="00BD3411"/>
    <w:rsid w:val="00F6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4279"/>
  <w15:chartTrackingRefBased/>
  <w15:docId w15:val="{52A26F12-F034-49A7-87E7-4E4FEE97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6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Smith</dc:creator>
  <cp:keywords/>
  <dc:description/>
  <cp:lastModifiedBy>Kevin Smith</cp:lastModifiedBy>
  <cp:revision>1</cp:revision>
  <dcterms:created xsi:type="dcterms:W3CDTF">2026-04-08T01:29:00Z</dcterms:created>
  <dcterms:modified xsi:type="dcterms:W3CDTF">2026-04-08T01:33:00Z</dcterms:modified>
</cp:coreProperties>
</file>