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80" w:before="0"/>
        <w:jc w:val="center"/>
      </w:pPr>
      <w:r>
        <w:rPr>
          <w:rFonts w:ascii="Calibri" w:cs="Calibri" w:eastAsia="Calibri" w:hAnsi="Calibri"/>
          <w:b/>
          <w:bCs/>
          <w:color w:val="1E3A5F"/>
          <w:sz w:val="72"/>
          <w:szCs w:val="72"/>
        </w:rPr>
        <w:t xml:space="preserve">KAI-Netics</w:t>
      </w:r>
    </w:p>
    <w:p>
      <w:pPr>
        <w:spacing w:after="60" w:before="0"/>
        <w:jc w:val="center"/>
      </w:pPr>
      <w:r>
        <w:rPr>
          <w:rFonts w:ascii="Calibri" w:cs="Calibri" w:eastAsia="Calibri" w:hAnsi="Calibri"/>
          <w:color w:val="028090"/>
          <w:sz w:val="36"/>
          <w:szCs w:val="36"/>
        </w:rPr>
        <w:t xml:space="preserve">MEIA Phase 2 Commercialization Plan</w:t>
      </w:r>
    </w:p>
    <w:p>
      <w:pPr>
        <w:pBdr>
          <w:bottom w:val="single" w:color="028090" w:sz="6" w:space="8"/>
        </w:pBdr>
        <w:spacing w:after="400" w:before="0"/>
        <w:jc w:val="center"/>
      </w:pPr>
      <w:r>
        <w:rPr>
          <w:rFonts w:ascii="Calibri" w:cs="Calibri" w:eastAsia="Calibri" w:hAnsi="Calibri"/>
          <w:color w:val="1E3A5F"/>
          <w:sz w:val="24"/>
          <w:szCs w:val="24"/>
        </w:rPr>
        <w:t xml:space="preserve">Drone 3PL: Sub-5lb Package Delivery for Maryland's Medical and Community Supply Chain</w:t>
      </w:r>
    </w:p>
    <w:p>
      <w:pPr>
        <w:spacing w:before="200"/>
      </w:pPr>
      <w:r>
        <w:t xml:space="preserve"/>
      </w:r>
    </w:p>
    <w:p>
      <w:pPr>
        <w:jc w:val="center"/>
      </w:pPr>
      <w:r>
        <w:rPr>
          <w:rFonts w:ascii="Calibri" w:cs="Calibri" w:eastAsia="Calibri" w:hAnsi="Calibri"/>
          <w:color w:val="444444"/>
          <w:sz w:val="20"/>
          <w:szCs w:val="20"/>
        </w:rPr>
        <w:t xml:space="preserve">Submitted to: Maryland Energy Innovation Accelerator (MEIA)</w:t>
      </w:r>
    </w:p>
    <w:p>
      <w:pPr>
        <w:spacing w:before="60"/>
        <w:jc w:val="center"/>
      </w:pPr>
      <w:r>
        <w:rPr>
          <w:rFonts w:ascii="Calibri" w:cs="Calibri" w:eastAsia="Calibri" w:hAnsi="Calibri"/>
          <w:color w:val="444444"/>
          <w:sz w:val="20"/>
          <w:szCs w:val="20"/>
        </w:rPr>
        <w:t xml:space="preserve">Applicant: Kevin Alexander Smith, Founder &amp; CEO</w:t>
      </w:r>
    </w:p>
    <w:p>
      <w:pPr>
        <w:spacing w:before="60"/>
        <w:jc w:val="center"/>
      </w:pPr>
      <w:r>
        <w:rPr>
          <w:rFonts w:ascii="Calibri" w:cs="Calibri" w:eastAsia="Calibri" w:hAnsi="Calibri"/>
          <w:color w:val="444444"/>
          <w:sz w:val="20"/>
          <w:szCs w:val="20"/>
        </w:rPr>
        <w:t xml:space="preserve">Kevin Alexander International LLC dba KAI-Netics</w:t>
      </w:r>
    </w:p>
    <w:p>
      <w:pPr>
        <w:spacing w:before="60"/>
        <w:jc w:val="center"/>
      </w:pPr>
      <w:r>
        <w:rPr>
          <w:rFonts w:ascii="Calibri" w:cs="Calibri" w:eastAsia="Calibri" w:hAnsi="Calibri"/>
          <w:b/>
          <w:bCs/>
          <w:color w:val="028090"/>
          <w:sz w:val="18"/>
          <w:szCs w:val="18"/>
        </w:rPr>
        <w:t xml:space="preserve">MWVOB Minority-Owned Business  |  UMGC Current Student  |  FAA Part 107 Certified</w:t>
      </w:r>
    </w:p>
    <w:p>
      <w:pPr>
        <w:spacing w:before="60"/>
        <w:jc w:val="center"/>
      </w:pPr>
      <w:r>
        <w:rPr>
          <w:rFonts w:ascii="Calibri" w:cs="Calibri" w:eastAsia="Calibri" w:hAnsi="Calibri"/>
          <w:color w:val="888888"/>
          <w:sz w:val="18"/>
          <w:szCs w:val="18"/>
        </w:rPr>
        <w:t xml:space="preserve">April 2026  |  CONFIDENTIAL</w:t>
      </w:r>
    </w:p>
    <w:p>
      <w:pPr>
        <w:pageBreakBefore/>
      </w:pPr>
      <w:r>
        <w:t xml:space="preserve"/>
      </w:r>
    </w:p>
    <w:p>
      <w:pPr>
        <w:pStyle w:val="Heading1"/>
        <w:spacing w:after="120" w:before="400"/>
      </w:pPr>
      <w:r>
        <w:rPr>
          <w:rFonts w:ascii="Calibri" w:cs="Calibri" w:eastAsia="Calibri" w:hAnsi="Calibri"/>
          <w:b/>
          <w:bCs/>
          <w:color w:val="1E3A5F"/>
          <w:sz w:val="32"/>
          <w:szCs w:val="32"/>
        </w:rPr>
        <w:t xml:space="preserve">Executive Summary</w:t>
      </w:r>
    </w:p>
    <w:p>
      <w:pPr>
        <w:pBdr>
          <w:left w:val="single" w:color="028090" w:sz="14" w:space="8"/>
        </w:pBdr>
        <w:shd w:fill="E8F4F8" w:val="clear"/>
        <w:spacing w:after="100" w:before="100"/>
        <w:ind w:left="360"/>
      </w:pPr>
      <w:r>
        <w:rPr>
          <w:rFonts w:ascii="Calibri" w:cs="Calibri" w:eastAsia="Calibri" w:hAnsi="Calibri"/>
          <w:b/>
          <w:bCs/>
          <w:color w:val="1E3A5F"/>
          <w:sz w:val="20"/>
          <w:szCs w:val="20"/>
        </w:rPr>
        <w:t xml:space="preserve">KAI-Netics is building Maryland's first drone 3PL operator for sub-5lb commercial package delivery — anchored at the CURN Baltimore endpoint, targeting medical supply chains, community resiliency infrastructure, and adjacent urban delivery markets.</w:t>
      </w:r>
    </w:p>
    <w:p>
      <w:pPr>
        <w:spacing w:before="80"/>
      </w:pPr>
      <w:r>
        <w:t xml:space="preserve"/>
      </w:r>
    </w:p>
    <w:p>
      <w:pPr>
        <w:spacing w:after="60" w:before="60"/>
      </w:pPr>
      <w:r>
        <w:rPr>
          <w:rFonts w:ascii="Calibri" w:cs="Calibri" w:eastAsia="Calibri" w:hAnsi="Calibri"/>
          <w:sz w:val="20"/>
          <w:szCs w:val="20"/>
        </w:rPr>
        <w:t xml:space="preserve">Baltimore's medical supply chain and community delivery infrastructure runs on diesel truck fleets — expensive, carbon-intensive, and COVID-fragile. The University of Maryland's Chesapeake UAS Route Network (CURN), managed by UROC at St. Mary's County Regional Airport, has built the BVLOS airspace infrastructure to support commercial drone delivery across Maryland. KAI-Netics is positioned to be the first commercial 3PL operator at CURN's Baltimore endpoint.</w:t>
      </w:r>
    </w:p>
    <w:p>
      <w:pPr>
        <w:spacing w:before="60"/>
      </w:pPr>
      <w:r>
        <w:t xml:space="preserve"/>
      </w:r>
    </w:p>
    <w:p>
      <w:pPr>
        <w:spacing w:after="60" w:before="60"/>
      </w:pPr>
      <w:r>
        <w:rPr>
          <w:rFonts w:ascii="Calibri" w:cs="Calibri" w:eastAsia="Calibri" w:hAnsi="Calibri"/>
          <w:sz w:val="20"/>
          <w:szCs w:val="20"/>
        </w:rPr>
        <w:t xml:space="preserve">As a FAA Part 107 certified operator, current UMGC student, and UROC/CURN internship applicant with direct Medline supply chain experience, founder Kevin Alexander Smith brings a unique combination of operational credentials, insider market knowledge, and Maryland institutional access that no competitor can replicate. The company's nonprofit arm, the KAI-Netics Equity &amp; Autonomy Foundry (EAF), will train Baltimore residents as drone operators through the CAKO certification program — creating green collar jobs in Maryland's most climate-vulnerable neighborhoods and directly fulfilling MEIA's workforce development and MWVOB priorities.</w:t>
      </w:r>
    </w:p>
    <w:p>
      <w:pPr>
        <w:spacing w:before="80"/>
      </w:pPr>
      <w:r>
        <w:t xml:space="preserve"/>
      </w:r>
    </w:p>
    <w:p>
      <w:pPr>
        <w:pStyle w:val="Heading2"/>
        <w:spacing w:after="80" w:before="280"/>
      </w:pPr>
      <w:r>
        <w:rPr>
          <w:rFonts w:ascii="Calibri" w:cs="Calibri" w:eastAsia="Calibri" w:hAnsi="Calibri"/>
          <w:b/>
          <w:bCs/>
          <w:color w:val="028090"/>
          <w:sz w:val="26"/>
          <w:szCs w:val="26"/>
        </w:rPr>
        <w:t xml:space="preserve">The Ask</w:t>
      </w:r>
    </w:p>
    <w:p>
      <w:pPr>
        <w:spacing w:after="60" w:before="60"/>
      </w:pPr>
      <w:r>
        <w:rPr>
          <w:rFonts w:ascii="Calibri" w:cs="Calibri" w:eastAsia="Calibri" w:hAnsi="Calibri"/>
          <w:sz w:val="20"/>
          <w:szCs w:val="20"/>
        </w:rPr>
        <w:t xml:space="preserve">KAI-Netics requests MEIA Phase 2 Accelerator support to:</w:t>
      </w:r>
    </w:p>
    <w:p>
      <w:pPr>
        <w:pStyle w:val="ListParagraph"/>
        <w:numPr>
          <w:ilvl w:val="0"/>
          <w:numId w:val="2"/>
        </w:numPr>
        <w:spacing w:after="40" w:before="40"/>
      </w:pPr>
      <w:r>
        <w:rPr>
          <w:rFonts w:ascii="Calibri" w:cs="Calibri" w:eastAsia="Calibri" w:hAnsi="Calibri"/>
          <w:b w:val="false"/>
          <w:bCs w:val="false"/>
          <w:sz w:val="20"/>
          <w:szCs w:val="20"/>
        </w:rPr>
        <w:t xml:space="preserve">Validate proof-of-concept (POC) delivery operations with the University of Maryland Medical System (UMMS) Logistics Operations Center at Sparrows Point</w:t>
      </w:r>
    </w:p>
    <w:p>
      <w:pPr>
        <w:pStyle w:val="ListParagraph"/>
        <w:numPr>
          <w:ilvl w:val="0"/>
          <w:numId w:val="2"/>
        </w:numPr>
        <w:spacing w:after="40" w:before="40"/>
      </w:pPr>
      <w:r>
        <w:rPr>
          <w:rFonts w:ascii="Calibri" w:cs="Calibri" w:eastAsia="Calibri" w:hAnsi="Calibri"/>
          <w:b w:val="false"/>
          <w:bCs w:val="false"/>
          <w:sz w:val="20"/>
          <w:szCs w:val="20"/>
        </w:rPr>
        <w:t xml:space="preserve">Develop the FAA Part 108 commercial carrier pathway for CURN operations</w:t>
      </w:r>
    </w:p>
    <w:p>
      <w:pPr>
        <w:pStyle w:val="ListParagraph"/>
        <w:numPr>
          <w:ilvl w:val="0"/>
          <w:numId w:val="2"/>
        </w:numPr>
        <w:spacing w:after="40" w:before="40"/>
      </w:pPr>
      <w:r>
        <w:rPr>
          <w:rFonts w:ascii="Calibri" w:cs="Calibri" w:eastAsia="Calibri" w:hAnsi="Calibri"/>
          <w:b w:val="false"/>
          <w:bCs w:val="false"/>
          <w:sz w:val="20"/>
          <w:szCs w:val="20"/>
        </w:rPr>
        <w:t xml:space="preserve">Launch CAKO Drone Operator Cohort 1 — training Baltimore residents for green collar delivery jobs</w:t>
      </w:r>
    </w:p>
    <w:p>
      <w:pPr>
        <w:pStyle w:val="ListParagraph"/>
        <w:numPr>
          <w:ilvl w:val="0"/>
          <w:numId w:val="2"/>
        </w:numPr>
        <w:spacing w:after="40" w:before="40"/>
      </w:pPr>
      <w:r>
        <w:rPr>
          <w:rFonts w:ascii="Calibri" w:cs="Calibri" w:eastAsia="Calibri" w:hAnsi="Calibri"/>
          <w:b w:val="false"/>
          <w:bCs w:val="false"/>
          <w:sz w:val="20"/>
          <w:szCs w:val="20"/>
        </w:rPr>
        <w:t xml:space="preserve">Build the emissions model documenting GHG reduction across all delivery lanes</w:t>
      </w:r>
    </w:p>
    <w:p>
      <w:pPr>
        <w:spacing w:before="80"/>
      </w:pPr>
      <w:r>
        <w:t xml:space="preserve"/>
      </w:r>
    </w:p>
    <w:p>
      <w:pPr>
        <w:pStyle w:val="Heading2"/>
        <w:spacing w:after="80" w:before="280"/>
      </w:pPr>
      <w:r>
        <w:rPr>
          <w:rFonts w:ascii="Calibri" w:cs="Calibri" w:eastAsia="Calibri" w:hAnsi="Calibri"/>
          <w:b/>
          <w:bCs/>
          <w:color w:val="028090"/>
          <w:sz w:val="26"/>
          <w:szCs w:val="26"/>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Primary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Sub-5lb drone 3PL delivery — medical supply, pharmacy, resiliency hubs, campus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Anchor POC Target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UMMS Logistics Operations Center, Sparrows Point (415K sq ft, 11 hospitals)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Infrastructure Partner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UMD UROC / CURN — Maryland's statewide BVLOS drone corridor network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GHG Reduction (Year 1 est.)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~9 metric tons CO2e per delivery lane; ~99 tons at UMMS network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Green Collar Jobs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CAKO Cohort 1: 10–15 Baltimore drone operators trained by EAF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Revenue Model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Per-delivery fee + managed service SLA contracts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Revenue Target Year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$100K cumulative by Month 6; $248K by Month 12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Founder Credentials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FAA Part 107, CISSP, PMP, UMGC student, Medline supply chain experience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Entity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FP: Operational LLC | EAF: 501c3 pending | MWVOB minority-owned</w:t>
            </w:r>
          </w:p>
        </w:tc>
      </w:tr>
    </w:tbl>
    <w:p>
      <w:pPr>
        <w:pageBreakBefore/>
      </w:pPr>
      <w:r>
        <w:t xml:space="preserve"/>
      </w:r>
    </w:p>
    <w:p>
      <w:pPr>
        <w:pStyle w:val="Heading1"/>
        <w:spacing w:after="120" w:before="400"/>
      </w:pPr>
      <w:r>
        <w:rPr>
          <w:rFonts w:ascii="Calibri" w:cs="Calibri" w:eastAsia="Calibri" w:hAnsi="Calibri"/>
          <w:b/>
          <w:bCs/>
          <w:color w:val="1E3A5F"/>
          <w:sz w:val="32"/>
          <w:szCs w:val="32"/>
        </w:rPr>
        <w:t xml:space="preserve">1. The Problem: A Dirty, Fragile Last-Mile</w:t>
      </w:r>
    </w:p>
    <w:p>
      <w:pPr>
        <w:spacing w:after="60" w:before="60"/>
      </w:pPr>
      <w:r>
        <w:rPr>
          <w:rFonts w:ascii="Calibri" w:cs="Calibri" w:eastAsia="Calibri" w:hAnsi="Calibri"/>
          <w:sz w:val="20"/>
          <w:szCs w:val="20"/>
        </w:rPr>
        <w:t xml:space="preserve">Baltimore's medical and community supply chain has a dirty secret: it runs almost entirely on diesel truck fleets. The University of Maryland Medical System — Maryland's largest health system, serving 25% of all hospital care in the state — distributes critical medical supplies from its new 415,000 sq ft Logistics Operations Center at Tradepoint Atlantic's Sparrows Point site to 11 hospitals across the region. Every delivery is a truck trip. Every truck trip burns diesel. Every diesel run emits CO2.</w:t>
      </w:r>
    </w:p>
    <w:p>
      <w:pPr>
        <w:spacing w:before="60"/>
      </w:pPr>
      <w:r>
        <w:t xml:space="preserve"/>
      </w:r>
    </w:p>
    <w:p>
      <w:pPr>
        <w:spacing w:after="60" w:before="60"/>
      </w:pPr>
      <w:r>
        <w:rPr>
          <w:rFonts w:ascii="Calibri" w:cs="Calibri" w:eastAsia="Calibri" w:hAnsi="Calibri"/>
          <w:sz w:val="20"/>
          <w:szCs w:val="20"/>
        </w:rPr>
        <w:t xml:space="preserve">Medline Industries, the dominant medical supply distributor in the region, operates a 1.1 million sq ft distribution center in Perryville, Cecil County. Its owned truck fleet — touted as a competitive advantage — rolls diesel runs of approximately 50 miles each way to deliver surgical kits and medical supplies to health systems including UMMS. This model is expensive, emissions-intensive, and operationally fragile, as COVID-19 supply chain disruptions proved catastrophically.</w:t>
      </w:r>
    </w:p>
    <w:p>
      <w:pPr>
        <w:spacing w:before="80"/>
      </w:pPr>
      <w:r>
        <w:t xml:space="preserve"/>
      </w:r>
    </w:p>
    <w:p>
      <w:pPr>
        <w:pStyle w:val="Heading2"/>
        <w:spacing w:after="80" w:before="280"/>
      </w:pPr>
      <w:r>
        <w:rPr>
          <w:rFonts w:ascii="Calibri" w:cs="Calibri" w:eastAsia="Calibri" w:hAnsi="Calibri"/>
          <w:b/>
          <w:bCs/>
          <w:color w:val="028090"/>
          <w:sz w:val="26"/>
          <w:szCs w:val="26"/>
        </w:rPr>
        <w:t xml:space="preserve">The Carbon Problem</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1500"/>
        <w:gridCol w:w="1500"/>
        <w:gridCol w:w="15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Route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Distance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Vehicle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CO2e Per Run</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Annual Runs (est.)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Annual CO2e (est.)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Medline Perryville DC → UMMS Sparrows Point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~50 mi one-way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Class 6–8 diesel truck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~80–100 lbs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~250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~20,000–25,000 lbs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UMMS Sparrows Point → UMMC Downtown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~8 miles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Delivery van/truck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~12–18 lbs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~12,000–18,000 lbs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Inter-hospital supply runs (UMMS network)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Varies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Mixed fleet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~15–30 lbs avg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High frequency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Significant</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The Resilience Problem</w:t>
      </w:r>
    </w:p>
    <w:p>
      <w:pPr>
        <w:spacing w:after="60" w:before="60"/>
      </w:pPr>
      <w:r>
        <w:rPr>
          <w:rFonts w:ascii="Calibri" w:cs="Calibri" w:eastAsia="Calibri" w:hAnsi="Calibri"/>
          <w:sz w:val="20"/>
          <w:szCs w:val="20"/>
        </w:rPr>
        <w:t xml:space="preserve">COVID-19 exposed the fragility of fleet-based medical supply delivery. UMMS's decision to invest in the Sparrows Point Logistics Operations Center was directly motivated by pandemic-era supply chain failures — the goal was to consolidate inventory and improve delivery resilience. Drone delivery is the next layer of that resilience: weather-independent routing over water, no traffic vulnerability, and rapid deployment capability during emergencies.</w:t>
      </w:r>
    </w:p>
    <w:p>
      <w:pPr>
        <w:spacing w:before="60"/>
      </w:pPr>
      <w:r>
        <w:t xml:space="preserve"/>
      </w:r>
    </w:p>
    <w:p>
      <w:pPr>
        <w:spacing w:after="60" w:before="60"/>
      </w:pPr>
      <w:r>
        <w:rPr>
          <w:rFonts w:ascii="Calibri" w:cs="Calibri" w:eastAsia="Calibri" w:hAnsi="Calibri"/>
          <w:sz w:val="20"/>
          <w:szCs w:val="20"/>
        </w:rPr>
        <w:t xml:space="preserve">Baltimore's Community Resiliency Hubs — seven solar-powered community centers designated by the Baltimore Office of Sustainability to serve the city's most climate-vulnerable neighborhoods — face a related problem: during emergencies, they need rapid supply replenishment and have no dedicated last-mile delivery infrastructure. These hubs were explicitly designed to reduce GHG emissions and improve community resilience; drone delivery directly serves their mission.</w:t>
      </w:r>
    </w:p>
    <w:p>
      <w:pPr>
        <w:spacing w:before="80"/>
      </w:pPr>
      <w:r>
        <w:t xml:space="preserve"/>
      </w:r>
    </w:p>
    <w:p>
      <w:pPr>
        <w:pStyle w:val="Heading2"/>
        <w:spacing w:after="80" w:before="280"/>
      </w:pPr>
      <w:r>
        <w:rPr>
          <w:rFonts w:ascii="Calibri" w:cs="Calibri" w:eastAsia="Calibri" w:hAnsi="Calibri"/>
          <w:b/>
          <w:bCs/>
          <w:color w:val="028090"/>
          <w:sz w:val="26"/>
          <w:szCs w:val="26"/>
        </w:rPr>
        <w:t xml:space="preserve">The Opportunity Window</w:t>
      </w:r>
    </w:p>
    <w:p>
      <w:pPr>
        <w:spacing w:after="60" w:before="60"/>
      </w:pPr>
      <w:r>
        <w:rPr>
          <w:rFonts w:ascii="Calibri" w:cs="Calibri" w:eastAsia="Calibri" w:hAnsi="Calibri"/>
          <w:sz w:val="20"/>
          <w:szCs w:val="20"/>
        </w:rPr>
        <w:t xml:space="preserve">The FAA is finalizing Part 108 BVLOS rules that will enable commercial drone delivery at scale. The University of Maryland's CURN project has already built the airspace infrastructure — drone corridors over the Chesapeake Bay — and is actively seeking commercial operators to validate its network. Maryland is positioned to be the national leader in commercial drone logistics, but only if operators like KAI-Netics move now.</w:t>
      </w:r>
    </w:p>
    <w:p>
      <w:pPr>
        <w:pageBreakBefore/>
      </w:pPr>
      <w:r>
        <w:t xml:space="preserve"/>
      </w:r>
    </w:p>
    <w:p>
      <w:pPr>
        <w:pStyle w:val="Heading1"/>
        <w:spacing w:after="120" w:before="400"/>
      </w:pPr>
      <w:r>
        <w:rPr>
          <w:rFonts w:ascii="Calibri" w:cs="Calibri" w:eastAsia="Calibri" w:hAnsi="Calibri"/>
          <w:b/>
          <w:bCs/>
          <w:color w:val="1E3A5F"/>
          <w:sz w:val="32"/>
          <w:szCs w:val="32"/>
        </w:rPr>
        <w:t xml:space="preserve">2. The Solution: Drone 3PL at the CURN Baltimore Endpoint</w:t>
      </w:r>
    </w:p>
    <w:p>
      <w:pPr>
        <w:pBdr>
          <w:left w:val="single" w:color="028090" w:sz="14" w:space="8"/>
        </w:pBdr>
        <w:shd w:fill="E8F4F8" w:val="clear"/>
        <w:spacing w:after="100" w:before="100"/>
        <w:ind w:left="360"/>
      </w:pPr>
      <w:r>
        <w:rPr>
          <w:rFonts w:ascii="Calibri" w:cs="Calibri" w:eastAsia="Calibri" w:hAnsi="Calibri"/>
          <w:b/>
          <w:bCs/>
          <w:color w:val="1E3A5F"/>
          <w:sz w:val="20"/>
          <w:szCs w:val="20"/>
        </w:rPr>
        <w:t xml:space="preserve">KAI-Netics operates commercial sub-5lb drone delivery services as Maryland's first licensed drone 3PL operator, using CURN's Baltimore endpoint corridor to serve medical campuses, community resiliency hubs, pharmacies, campuses, and urban commercial customers.</w:t>
      </w:r>
    </w:p>
    <w:p>
      <w:pPr>
        <w:spacing w:before="80"/>
      </w:pPr>
      <w:r>
        <w:t xml:space="preserve"/>
      </w:r>
    </w:p>
    <w:p>
      <w:pPr>
        <w:pStyle w:val="Heading2"/>
        <w:spacing w:after="80" w:before="280"/>
      </w:pPr>
      <w:r>
        <w:rPr>
          <w:rFonts w:ascii="Calibri" w:cs="Calibri" w:eastAsia="Calibri" w:hAnsi="Calibri"/>
          <w:b/>
          <w:bCs/>
          <w:color w:val="028090"/>
          <w:sz w:val="26"/>
          <w:szCs w:val="26"/>
        </w:rPr>
        <w:t xml:space="preserve">2.1 What Is CURN?</w:t>
      </w:r>
    </w:p>
    <w:p>
      <w:pPr>
        <w:spacing w:after="60" w:before="60"/>
      </w:pPr>
      <w:r>
        <w:rPr>
          <w:rFonts w:ascii="Calibri" w:cs="Calibri" w:eastAsia="Calibri" w:hAnsi="Calibri"/>
          <w:sz w:val="20"/>
          <w:szCs w:val="20"/>
        </w:rPr>
        <w:t>The Chesapeake UAS Route Network (CURN) is the University of Maryland UROC's initiative to build a statewide network of BVLOS drone flight corridors across Maryland. Routes are designed primarily over the Chesapeake Bay — minimizing crash risk to people and property on the ground. Funded with $1.3M from the Maryland Department of Commerce and backed by FAA, Navy ATR, DHS, NASA, and ARL partnerships, CURN is the most credible drone infrastructure investment in Maryland's history. Note: FAA Part 108 BVLOS rulemaking is ongoing; KAI-Netics' mitigation is to operate commercially under Part 107 today while pursuing a BVLOS waiver pathway with legal counsel (James L. Scott, Esq., board member) — generating revenue and POC data that strengthen any future Part 108 or waiver application.</w:t>
      </w:r>
    </w:p>
    <w:p>
      <w:pPr>
        <w:spacing w:before="60"/>
      </w:pPr>
      <w:r>
        <w:t xml:space="preserve"/>
      </w:r>
    </w:p>
    <w:p>
      <w:pPr>
        <w:spacing w:after="60" w:before="60"/>
      </w:pPr>
      <w:r>
        <w:rPr>
          <w:rFonts w:ascii="Calibri" w:cs="Calibri" w:eastAsia="Calibri" w:hAnsi="Calibri"/>
          <w:sz w:val="20"/>
          <w:szCs w:val="20"/>
        </w:rPr>
        <w:t xml:space="preserve">UROC's own documentation describes CURN's commercial vision in three tiers: (1) short-range BVLOS for high-volume small package delivery and DFR programs, (2) regionalized operations for search and rescue and emergency supply delivery, and (3) long-range cargo UAS connecting distribution hubs statewide. KAI-Netics operates at Tier 1 — the highest-volume, most commercially immediate tier.</w:t>
      </w:r>
    </w:p>
    <w:p>
      <w:pPr>
        <w:spacing w:before="80"/>
      </w:pPr>
      <w:r>
        <w:t xml:space="preserve"/>
      </w:r>
    </w:p>
    <w:p>
      <w:pPr>
        <w:pStyle w:val="Heading2"/>
        <w:spacing w:after="80" w:before="280"/>
      </w:pPr>
      <w:r>
        <w:rPr>
          <w:rFonts w:ascii="Calibri" w:cs="Calibri" w:eastAsia="Calibri" w:hAnsi="Calibri"/>
          <w:b/>
          <w:bCs/>
          <w:color w:val="028090"/>
          <w:sz w:val="26"/>
          <w:szCs w:val="26"/>
        </w:rPr>
        <w:t xml:space="preserve">2.2 Why Sub-5lb?</w:t>
      </w:r>
    </w:p>
    <w:p>
      <w:pPr>
        <w:spacing w:after="60" w:before="60"/>
      </w:pPr>
      <w:r>
        <w:rPr>
          <w:rFonts w:ascii="Calibri" w:cs="Calibri" w:eastAsia="Calibri" w:hAnsi="Calibri"/>
          <w:sz w:val="20"/>
          <w:szCs w:val="20"/>
        </w:rPr>
        <w:t xml:space="preserve">Sub-5lb payloads represent the regulatory sweet spot for drone delivery: the smallest, lightest class of commercial UAS has the lowest risk profile, is easiest to permit under existing Part 107 rules, and covers the highest-frequency, highest-margin delivery categories in medical and community logistics.</w:t>
      </w:r>
    </w:p>
    <w:p>
      <w:pPr>
        <w:spacing w:before="60"/>
      </w:pPr>
      <w:r>
        <w:t xml:space="preserve"/>
      </w:r>
    </w:p>
    <w:p>
      <w:pPr>
        <w:spacing w:after="60" w:before="60"/>
      </w:pPr>
      <w:r>
        <w:rPr>
          <w:rFonts w:ascii="Calibri" w:cs="Calibri" w:eastAsia="Calibri" w:hAnsi="Calibri"/>
          <w:sz w:val="20"/>
          <w:szCs w:val="20"/>
        </w:rPr>
        <w:t xml:space="preserve">Sub-5lb packages include surgical kits, lab specimens and blood samples, prescription medications, small medical device components, emergency supply packages for resiliency hubs, legal documents, small retail packages, and university campus items. These are not commodity deliveries — they are time-critical, precision deliveries where speed and reliability command premium pricing.</w:t>
      </w:r>
    </w:p>
    <w:p>
      <w:pPr>
        <w:spacing w:before="80"/>
      </w:pPr>
      <w:r>
        <w:t xml:space="preserve"/>
      </w:r>
    </w:p>
    <w:p>
      <w:pPr>
        <w:pStyle w:val="Heading2"/>
        <w:spacing w:after="80" w:before="280"/>
      </w:pPr>
      <w:r>
        <w:rPr>
          <w:rFonts w:ascii="Calibri" w:cs="Calibri" w:eastAsia="Calibri" w:hAnsi="Calibri"/>
          <w:b/>
          <w:bCs/>
          <w:color w:val="028090"/>
          <w:sz w:val="26"/>
          <w:szCs w:val="26"/>
        </w:rPr>
        <w:t xml:space="preserve">2.3 The Delivery Network — CURN Baltimore Endpoint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2000"/>
        <w:gridCol w:w="19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Use Case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Primary Customer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Revenue Model</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 — Now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Medical supply / surgical kits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UMMS (Pat Vizzard, VP Supply Chain)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Per-delivery + managed service SLA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1–3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 — Now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Lab specimen / blood sample transport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Johns Hopkins (Dr. Amukele), UMMS labs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Per-delivery clinical SLA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 — Now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Pharmacy / prescription delivery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CVS, Walgreens, UMMS outpatient Rx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Per-delivery + subscription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2–4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 — Now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Emergency supply to resiliency hubs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Baltimore Office of Sustainability, Groundswell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Grant-funded SLA + per-event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3–5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 — Now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Government / municipal small supply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Baltimore City agencies (MBE eligible)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Government contract, recurring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3–6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2 — 6–12 mo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Campus delivery (UMGC / USM)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UMGC, UMD, UMBC, Towson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University contract / pilot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6–9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2 — 6–12 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Food desert last-mile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Baltimore food co-ops, WIC programs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Subscription + nonprofit subsidy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7–10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2 — 6–12 mo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Tradepoint Atlantic inter-facility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Port of Baltimore industrial tenants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B2B contract, recurring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6–9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3 — Post-108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Rural Eastern Shore medical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Rural health clinics, CHCs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Per-delivery + federal grant subsidy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Year 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3 — Post-108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Organ / biological transport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UMMC, Hopkins transplant network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Ultra-premium SLA contract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Year 2+</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2.4 The Carbon Displacement Model</w:t>
      </w:r>
    </w:p>
    <w:p>
      <w:pPr>
        <w:spacing w:after="60" w:before="60"/>
      </w:pPr>
      <w:r>
        <w:rPr>
          <w:rFonts w:ascii="Calibri" w:cs="Calibri" w:eastAsia="Calibri" w:hAnsi="Calibri"/>
          <w:sz w:val="20"/>
          <w:szCs w:val="20"/>
        </w:rPr>
        <w:t xml:space="preserve">Replacing a single diesel truck run with a sub-5lb drone delivery produces a calculable GHG reduction. The model below uses the Medline Aberdeen-to-Sparrows Point route as the baseline and a CURN-corridor electric drone delivery as the alternative.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Parameter</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Truck (Diesel)</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Drone (Electric, CURN Corridor)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Route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Perryville DC → Sparrows Point (~50 mi)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Baltimore endpoint → delivery node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Vehicle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Class 6–8 diesel delivery truck</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Electric multirotor UAS, sub-5lb payload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Energy / Emissions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~1.6–2.0 lbs CO2e per mile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~0.1–0.3 kWh per delivery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CO2e per run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~80–100 lbs CO2e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~0.035–0.105 lbs CO2e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Annual CO2e (250 runs)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~20,000–25,000 lbs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~9–26 lbs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Annual GHG Reduction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~19,974–24,991 lbs (~9–11 metric tons)</w:t>
            </w:r>
          </w:p>
        </w:tc>
      </w:tr>
    </w:tbl>
    <w:p>
      <w:pPr>
        <w:spacing w:before="60"/>
      </w:pPr>
      <w:r>
        <w:t xml:space="preserve"/>
      </w:r>
    </w:p>
    <w:p>
      <w:pPr>
        <w:pBdr>
          <w:left w:val="single" w:color="028090" w:sz="14" w:space="8"/>
        </w:pBdr>
        <w:shd w:fill="E8F4F8" w:val="clear"/>
        <w:spacing w:after="100" w:before="100"/>
        <w:ind w:left="360"/>
      </w:pPr>
      <w:r>
        <w:rPr>
          <w:rFonts w:ascii="Calibri" w:cs="Calibri" w:eastAsia="Calibri" w:hAnsi="Calibri"/>
          <w:b/>
          <w:bCs/>
          <w:color w:val="1E3A5F"/>
          <w:sz w:val="20"/>
          <w:szCs w:val="20"/>
        </w:rPr>
        <w:t xml:space="preserve">Scaled to the full UMMS 11-hospital delivery network: estimated annual GHG reduction of ~99 metric tons CO2e. This is a conservative, verifiable claim based on EPA MOVES diesel emissions factors and EPA eGrid Maryland grid emissions intensity.</w:t>
      </w:r>
    </w:p>
    <w:p>
      <w:pPr>
        <w:pageBreakBefore/>
      </w:pPr>
      <w:r>
        <w:t xml:space="preserve"/>
      </w:r>
    </w:p>
    <w:p>
      <w:pPr>
        <w:pStyle w:val="Heading1"/>
        <w:spacing w:after="120" w:before="400"/>
      </w:pPr>
      <w:r>
        <w:rPr>
          <w:rFonts w:ascii="Calibri" w:cs="Calibri" w:eastAsia="Calibri" w:hAnsi="Calibri"/>
          <w:b/>
          <w:bCs/>
          <w:color w:val="1E3A5F"/>
          <w:sz w:val="32"/>
          <w:szCs w:val="32"/>
        </w:rPr>
        <w:t xml:space="preserve">3. Market Opportunity</w:t>
      </w:r>
    </w:p>
    <w:p>
      <w:pPr>
        <w:pStyle w:val="Heading2"/>
        <w:spacing w:after="80" w:before="280"/>
      </w:pPr>
      <w:r>
        <w:rPr>
          <w:rFonts w:ascii="Calibri" w:cs="Calibri" w:eastAsia="Calibri" w:hAnsi="Calibri"/>
          <w:b/>
          <w:bCs/>
          <w:color w:val="028090"/>
          <w:sz w:val="26"/>
          <w:szCs w:val="26"/>
        </w:rPr>
        <w:t xml:space="preserve">3.1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Market Level</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Definition</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Size Estimate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TAM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US last-mile sub-5lb drone delivery (all sectors)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$30B+ by 2030 (industry projections)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SAM</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Maryland + Baltimore metro commercial delivery addressable by CURN corridors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Multi-hundred million annual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SOM — Year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UMMS network + 7 resiliency hubs + 2 commercial POCs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$100K–$248K direct revenue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SOM — Year 3</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Full CURN carrier license + statewide delivery network</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$1M+ ARR target</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3.2 Anchor Customer: UMMS Logistics Operations Center</w:t>
      </w:r>
    </w:p>
    <w:p>
      <w:pPr>
        <w:spacing w:after="60" w:before="60"/>
      </w:pPr>
      <w:r>
        <w:rPr>
          <w:rFonts w:ascii="Calibri" w:cs="Calibri" w:eastAsia="Calibri" w:hAnsi="Calibri"/>
          <w:sz w:val="20"/>
          <w:szCs w:val="20"/>
        </w:rPr>
        <w:t xml:space="preserve">The University of Maryland Medical System is Maryland's largest health system, delivering 25% of all hospital care in the state. Its 415,000 sq ft Logistics Operations Center at Tradepoint Atlantic's Sparrows Point site — opened Q2 2025 — centralizes all supply chain, pharmacy operations, and equipment repair for 11 hospitals serving 100,000+ admitted patients and 1.2 million outpatients annually.</w:t>
      </w:r>
    </w:p>
    <w:p>
      <w:pPr>
        <w:spacing w:before="60"/>
      </w:pPr>
      <w:r>
        <w:t xml:space="preserve"/>
      </w:r>
    </w:p>
    <w:p>
      <w:pPr>
        <w:spacing w:after="60" w:before="60"/>
      </w:pPr>
      <w:r>
        <w:rPr>
          <w:rFonts w:ascii="Calibri" w:cs="Calibri" w:eastAsia="Calibri" w:hAnsi="Calibri"/>
          <w:sz w:val="20"/>
          <w:szCs w:val="20"/>
        </w:rPr>
        <w:t xml:space="preserve">UMMS built this LOC specifically to address COVID-era supply chain vulnerabilities. The mandate to innovate in supply chain resilience is explicit and ongoing. Pat Vizzard, Vice President of Supply Chain Management, has stated publicly that "having the right items, in the right place at the right time is key to providing a safe environment for patient care." Drone delivery directly serves this mission, and the Sparrows Point location — adjacent to the Patapsco River and Baltimore Harbor — provides a natural over-water CURN corridor to UMMS hospital campuses in downtown Baltimore.</w:t>
      </w:r>
    </w:p>
    <w:p>
      <w:pPr>
        <w:spacing w:before="80"/>
      </w:pPr>
      <w:r>
        <w:t xml:space="preserve"/>
      </w:r>
    </w:p>
    <w:p>
      <w:pPr>
        <w:pStyle w:val="Heading2"/>
        <w:spacing w:after="80" w:before="280"/>
      </w:pPr>
      <w:r>
        <w:rPr>
          <w:rFonts w:ascii="Calibri" w:cs="Calibri" w:eastAsia="Calibri" w:hAnsi="Calibri"/>
          <w:b/>
          <w:bCs/>
          <w:color w:val="028090"/>
          <w:sz w:val="26"/>
          <w:szCs w:val="26"/>
        </w:rPr>
        <w:t xml:space="preserve">3.3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1300"/>
        <w:gridCol w:w="42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Competitor</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Geography</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Threat Level</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KAI-Netics Advantage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MissionGO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Baltimore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Critical — monitor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MWVOB minority-owned + CAKO green collar workforce + MONK trust layer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Zipline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Scaling US/global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National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High — watch MD entry</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Local workforce + Maryland institutional roots + UMGC ecosystem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Matternet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Growing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Hospital campuses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High — direct competitor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CURN infrastructure access + UROC academic credibility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Wing (Google)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Growing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Suburban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Medium</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Urban/clinical specialization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Amazon Prime Air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Growing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Pharmacy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Agility + local relationships + medical supply breadth</w:t>
            </w:r>
          </w:p>
        </w:tc>
      </w:tr>
    </w:tbl>
    <w:p>
      <w:pPr>
        <w:spacing w:before="60"/>
      </w:pPr>
      <w:r>
        <w:t xml:space="preserve"/>
      </w:r>
    </w:p>
    <w:p>
      <w:pPr>
        <w:spacing w:after="60" w:before="60"/>
      </w:pPr>
      <w:r>
        <w:rPr>
          <w:rFonts w:ascii="Calibri" w:cs="Calibri" w:eastAsia="Calibri" w:hAnsi="Calibri"/>
          <w:sz w:val="20"/>
          <w:szCs w:val="20"/>
        </w:rPr>
        <w:t xml:space="preserve">MissionGO, founded by UROC alumni from the historic 2019 kidney delivery mission, is the most important competitive signal. KAI-Netics' three differentiators — MWVOB minority ownership, EAF/CAKO green collar workforce, and the MONK mission governance hardware layer — are structural advantages MissionGO cannot replicate. The CAKO workforce is particularly powerful: MEIA's own priority population includes minority, women, and veteran-owned businesses, and Baltimore residents trained as drone operators in climate-vulnerable neighborhoods is a story no competitor can tell.</w:t>
      </w:r>
    </w:p>
    <w:p>
      <w:pPr>
        <w:pageBreakBefore/>
      </w:pPr>
      <w:r>
        <w:t xml:space="preserve"/>
      </w:r>
    </w:p>
    <w:p>
      <w:pPr>
        <w:pStyle w:val="Heading1"/>
        <w:spacing w:after="120" w:before="400"/>
      </w:pPr>
      <w:r>
        <w:rPr>
          <w:rFonts w:ascii="Calibri" w:cs="Calibri" w:eastAsia="Calibri" w:hAnsi="Calibri"/>
          <w:b/>
          <w:bCs/>
          <w:color w:val="1E3A5F"/>
          <w:sz w:val="32"/>
          <w:szCs w:val="32"/>
        </w:rPr>
        <w:t xml:space="preserve">4. Founder Profile &amp; Credentials</w:t>
      </w:r>
    </w:p>
    <w:p>
      <w:pPr>
        <w:pBdr>
          <w:left w:val="single" w:color="028090" w:sz="14" w:space="8"/>
        </w:pBdr>
        <w:shd w:fill="E8F4F8" w:val="clear"/>
        <w:spacing w:after="100" w:before="100"/>
        <w:ind w:left="360"/>
      </w:pPr>
      <w:r>
        <w:rPr>
          <w:rFonts w:ascii="Calibri" w:cs="Calibri" w:eastAsia="Calibri" w:hAnsi="Calibri"/>
          <w:b/>
          <w:bCs/>
          <w:color w:val="1E3A5F"/>
          <w:sz w:val="20"/>
          <w:szCs w:val="20"/>
        </w:rPr>
        <w:t xml:space="preserve">Kevin Alexander Smith brings a rare combination of operational credentials, insider market knowledge, and Maryland institutional access — he can fly commercially today, open doors at UMMS through Medline experience, and access CURN's infrastructure through his UMGC enrollment. No competitor has this stack.</w:t>
      </w:r>
    </w:p>
    <w:p>
      <w:pPr>
        <w:spacing w:before="80"/>
      </w:pPr>
      <w:r>
        <w:t xml:space="preserve"/>
      </w:r>
    </w:p>
    <w:p>
      <w:pPr>
        <w:pStyle w:val="Heading2"/>
        <w:spacing w:after="80" w:before="280"/>
      </w:pPr>
      <w:r>
        <w:rPr>
          <w:rFonts w:ascii="Calibri" w:cs="Calibri" w:eastAsia="Calibri" w:hAnsi="Calibri"/>
          <w:b/>
          <w:bCs/>
          <w:color w:val="028090"/>
          <w:sz w:val="26"/>
          <w:szCs w:val="26"/>
        </w:rPr>
        <w:t xml:space="preserve">4.1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Credential</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Strategic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FAA Part 107 (Cert #5250157)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Active — exp. 12/31/2027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Revenue-generating drone operations TODAY. No regulatory wait.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CISSP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Active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Trust architecture for MONK hardware; federal and healthcare compliance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Active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Program delivery discipline; opens government and PMO procurement conversations.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CCNA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Active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Network infrastructure; MONK edge computing credibility.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Security+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Active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DoD 8570 baseline; federal procurement eligibility.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UMGC — Current Student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Enrolled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UROC/CURN internship eligibility; SBIR university affiliation; Maryland institutional access; academic credibility for all Maryland entity BD.</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4.2 Career Experience as Competitive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Employer</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Relevant 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Medline 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Direct insider knowledge of surgical kit delivery operations, fleet economics, last-mile pain points, and distributor competitive dynamics. This is proprietary intelligence no outside competitor possesses.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MedImmune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Pharmaceutical supply chain experience in a regulated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MedStar Health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Health system operational experience; relationship network in Maryland healthcare.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Capital One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Financial services enterprise discipline; regulated environment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Microsoft ($12M Security Recovery)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Demonstrated performance under adversarial pressure; federal trust signal.</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4.3 UMGC Student Status — Strategic Applications</w:t>
      </w:r>
    </w:p>
    <w:p>
      <w:pPr>
        <w:pStyle w:val="ListParagraph"/>
        <w:numPr>
          <w:ilvl w:val="0"/>
          <w:numId w:val="2"/>
        </w:numPr>
        <w:spacing w:after="40" w:before="40"/>
      </w:pPr>
      <w:r>
        <w:rPr>
          <w:rFonts w:ascii="Calibri" w:cs="Calibri" w:eastAsia="Calibri" w:hAnsi="Calibri"/>
          <w:b w:val="false"/>
          <w:bCs w:val="false"/>
          <w:sz w:val="20"/>
          <w:szCs w:val="20"/>
        </w:rPr>
        <w:t xml:space="preserve">UROC/CURN Internship: UMGC is a University System of Maryland institution, making Kevin eligible for UROC's summer internship. This places him inside the organization building the infrastructure KAI-Netics will operate on commercially.</w:t>
      </w:r>
    </w:p>
    <w:p>
      <w:pPr>
        <w:pStyle w:val="ListParagraph"/>
        <w:numPr>
          <w:ilvl w:val="0"/>
          <w:numId w:val="2"/>
        </w:numPr>
        <w:spacing w:after="40" w:before="40"/>
      </w:pPr>
      <w:r>
        <w:rPr>
          <w:rFonts w:ascii="Calibri" w:cs="Calibri" w:eastAsia="Calibri" w:hAnsi="Calibri"/>
          <w:b w:val="false"/>
          <w:bCs w:val="false"/>
          <w:sz w:val="20"/>
          <w:szCs w:val="20"/>
        </w:rPr>
        <w:t xml:space="preserve">SBIR Affiliation: UMGC enrollment enables university-sponsored SBIR applications — a pathway unavailable to solo operators.</w:t>
      </w:r>
    </w:p>
    <w:p>
      <w:pPr>
        <w:pStyle w:val="ListParagraph"/>
        <w:numPr>
          <w:ilvl w:val="0"/>
          <w:numId w:val="2"/>
        </w:numPr>
        <w:spacing w:after="40" w:before="40"/>
      </w:pPr>
      <w:r>
        <w:rPr>
          <w:rFonts w:ascii="Calibri" w:cs="Calibri" w:eastAsia="Calibri" w:hAnsi="Calibri"/>
          <w:b w:val="false"/>
          <w:bCs w:val="false"/>
          <w:sz w:val="20"/>
          <w:szCs w:val="20"/>
        </w:rPr>
        <w:t xml:space="preserve">BD Opener: 'I'm a current UMGC student researching commercial drone delivery at the CURN Baltimore endpoint' is the highest-credibility cold opener available in the Maryland drone ecosystem.</w:t>
      </w:r>
    </w:p>
    <w:p>
      <w:pPr>
        <w:pStyle w:val="ListParagraph"/>
        <w:numPr>
          <w:ilvl w:val="0"/>
          <w:numId w:val="2"/>
        </w:numPr>
        <w:spacing w:after="40" w:before="40"/>
      </w:pPr>
      <w:r>
        <w:rPr>
          <w:rFonts w:ascii="Calibri" w:cs="Calibri" w:eastAsia="Calibri" w:hAnsi="Calibri"/>
          <w:b w:val="false"/>
          <w:bCs w:val="false"/>
          <w:sz w:val="20"/>
          <w:szCs w:val="20"/>
        </w:rPr>
        <w:t xml:space="preserve">MEIA Alignment: MEIA explicitly supports the Maryland university ecosystem. UMGC enrollment signals Maryland institutional commitment to reviewers.</w:t>
      </w:r>
    </w:p>
    <w:p>
      <w:pPr>
        <w:spacing w:before="80"/>
      </w:pPr>
      <w:r>
        <w:t xml:space="preserve"/>
      </w:r>
    </w:p>
    <w:p>
      <w:pPr>
        <w:pStyle w:val="Heading2"/>
        <w:spacing w:after="80" w:before="280"/>
      </w:pPr>
      <w:r>
        <w:rPr>
          <w:rFonts w:ascii="Calibri" w:cs="Calibri" w:eastAsia="Calibri" w:hAnsi="Calibri"/>
          <w:b/>
          <w:bCs/>
          <w:color w:val="028090"/>
          <w:sz w:val="26"/>
          <w:szCs w:val="26"/>
        </w:rPr>
        <w:t xml:space="preserve">4.4 Advisory &amp;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Name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Contribution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Dr. Timothy Kien Amukele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Prospective Advisor — Outreach Initiated — Johns Hopkins School of Medicine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KAI-Netics is engaging Dr. Amukele for research collaboration, POC validation, and UMMS/Hopkins network introductions. Outreach initiated.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Dr. Alexander Kott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Technical Advisor — Fmr. ARL Chief Scientist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MONK hardware architecture; SBIR/DoD credibility; autonomous systems trust research.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James L. Scott, Esq.</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Board Member — EAF / Legal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Provisional patent filing for MONK; corporate governance.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Keith Millard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Board Member — EAF</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Community governance and organizational oversight.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Maurice Ellis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Board Member — EAF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Community governance and organizational oversight.</w:t>
            </w:r>
          </w:p>
        </w:tc>
      </w:tr>
    </w:tbl>
    <w:p>
      <w:pPr>
        <w:pageBreakBefore/>
      </w:pPr>
      <w:r>
        <w:t xml:space="preserve"/>
      </w:r>
    </w:p>
    <w:p>
      <w:pPr>
        <w:pStyle w:val="Heading1"/>
        <w:spacing w:after="120" w:before="400"/>
      </w:pPr>
      <w:r>
        <w:rPr>
          <w:rFonts w:ascii="Calibri" w:cs="Calibri" w:eastAsia="Calibri" w:hAnsi="Calibri"/>
          <w:b/>
          <w:bCs/>
          <w:color w:val="1E3A5F"/>
          <w:sz w:val="32"/>
          <w:szCs w:val="32"/>
        </w:rPr>
        <w:t xml:space="preserve">5. Business Model</w:t>
      </w:r>
    </w:p>
    <w:p>
      <w:pPr>
        <w:pStyle w:val="Heading2"/>
        <w:spacing w:after="80" w:before="280"/>
      </w:pPr>
      <w:r>
        <w:rPr>
          <w:rFonts w:ascii="Calibri" w:cs="Calibri" w:eastAsia="Calibri" w:hAnsi="Calibri"/>
          <w:b/>
          <w:bCs/>
          <w:color w:val="028090"/>
          <w:sz w:val="26"/>
          <w:szCs w:val="26"/>
        </w:rPr>
        <w:t xml:space="preserve">5.1 Revenue Streams (FP — Kevin Alexander International LLC dba KAI-Netics)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Stream</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Pricing Signal</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Per-delivery fee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Individual drone delivery for medical, pharmacy, legal, or emergency use cases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$15–$75/delivery (SLA-tiered)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Managed service SLA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Monthly contract for recurring delivery lanes (e.g., UMMS hospital network)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$8K–$15K/month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Government service contract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MBE-eligible recurring delivery for Baltimore City + MD state agencies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GSA-equivalent pricing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3–6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DFR program package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Full drone-as-first-responder program sale (CONOPS, SOPs, training)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$25K–$75K per program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MONK licensing (future)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Hardware trust layer licensing to other drone operators and fleet managers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Per-unit license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Year 2+</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5.2 Green Collar Workforce Revenue (EAF — Grant-Funded)</w:t>
      </w:r>
    </w:p>
    <w:p>
      <w:pPr>
        <w:spacing w:after="60" w:before="60"/>
      </w:pPr>
      <w:r>
        <w:rPr>
          <w:rFonts w:ascii="Calibri" w:cs="Calibri" w:eastAsia="Calibri" w:hAnsi="Calibri"/>
          <w:sz w:val="20"/>
          <w:szCs w:val="20"/>
        </w:rPr>
        <w:t xml:space="preserve">The KAI-Netics Equity &amp; Autonomy Foundry (EAF), a Maryland nonprofit (501c3 pending), will receive Maryland workforce development grants (EARN, CDBG) to operate the CAKO Drone Operator Certification Program. CAKO graduates are hired by FP at market-rate wages under a Talent Pipeline Agreement — creating a zero-cost talent acquisition model for FP while generating community impact and grant revenue for EAF.</w:t>
      </w:r>
    </w:p>
    <w:p>
      <w:pPr>
        <w:spacing w:before="60"/>
      </w:pPr>
      <w:r>
        <w:t xml:space="preserve"/>
      </w:r>
    </w:p>
    <w:p>
      <w:pPr>
        <w:spacing w:after="60" w:before="60"/>
      </w:pPr>
      <w:r>
        <w:rPr>
          <w:rFonts w:ascii="Calibri" w:cs="Calibri" w:eastAsia="Calibri" w:hAnsi="Calibri"/>
          <w:sz w:val="20"/>
          <w:szCs w:val="20"/>
        </w:rPr>
        <w:t>Critically, no funds flow from FP to EAF. The entities are financially independent and structurally interdependent, designed to comply with IRS private benefit prohibition rules from day one. EAF's Form 1023 application will be submitted by Month 2 (June 2026); EARN Maryland grant eligibility is being structured accordingly.</w:t>
      </w:r>
    </w:p>
    <w:p>
      <w:pPr>
        <w:spacing w:before="80"/>
      </w:pPr>
      <w:r>
        <w:t xml:space="preserve"/>
      </w:r>
    </w:p>
    <w:p>
      <w:pPr>
        <w:pStyle w:val="Heading2"/>
        <w:spacing w:after="80" w:before="280"/>
      </w:pPr>
      <w:r>
        <w:rPr>
          <w:rFonts w:ascii="Calibri" w:cs="Calibri" w:eastAsia="Calibri" w:hAnsi="Calibri"/>
          <w:b/>
          <w:bCs/>
          <w:color w:val="028090"/>
          <w:sz w:val="26"/>
          <w:szCs w:val="26"/>
        </w:rPr>
        <w:t xml:space="preserve">5.3 Revenue Projections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40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Milestone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Timeframe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Revenue Target</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First paid delivery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First dollar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Part 107 POC with UMMS or pharmacy partner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First managed service contract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$8K–$15K MRR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UMMS or resiliency hub 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5 active contracts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$40K–$75K pipeline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Medical + hub + government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$100K cumulative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$100K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3 managed service contracts 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$175K cumulative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$175K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First warehouse scanning + medical delivery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$248K Year 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$248K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All three verticals operational</w:t>
            </w:r>
          </w:p>
        </w:tc>
      </w:tr>
    </w:tbl>
    <w:p>
      <w:pPr>
        <w:pageBreakBefore/>
      </w:pPr>
      <w:r>
        <w:t xml:space="preserve"/>
      </w:r>
    </w:p>
    <w:p>
      <w:pPr>
        <w:pStyle w:val="Heading1"/>
        <w:spacing w:after="120" w:before="400"/>
      </w:pPr>
      <w:r>
        <w:rPr>
          <w:rFonts w:ascii="Calibri" w:cs="Calibri" w:eastAsia="Calibri" w:hAnsi="Calibri"/>
          <w:b/>
          <w:bCs/>
          <w:color w:val="1E3A5F"/>
          <w:sz w:val="32"/>
          <w:szCs w:val="32"/>
        </w:rPr>
        <w:t xml:space="preserve">6. Commercialization Plan &amp; Milestones</w:t>
      </w:r>
    </w:p>
    <w:p>
      <w:pPr>
        <w:pStyle w:val="Heading2"/>
        <w:spacing w:after="80" w:before="280"/>
      </w:pPr>
      <w:r>
        <w:rPr>
          <w:rFonts w:ascii="Calibri" w:cs="Calibri" w:eastAsia="Calibri" w:hAnsi="Calibri"/>
          <w:b/>
          <w:bCs/>
          <w:color w:val="028090"/>
          <w:sz w:val="26"/>
          <w:szCs w:val="26"/>
        </w:rPr>
        <w:t xml:space="preserve">6.1 Near-Term Execution (Part 107 — Now)</w:t>
      </w:r>
    </w:p>
    <w:p>
      <w:pPr>
        <w:spacing w:after="60" w:before="60"/>
      </w:pPr>
      <w:r>
        <w:rPr>
          <w:rFonts w:ascii="Calibri" w:cs="Calibri" w:eastAsia="Calibri" w:hAnsi="Calibri"/>
          <w:sz w:val="20"/>
          <w:szCs w:val="20"/>
        </w:rPr>
        <w:t xml:space="preserve">KAI-Netics does not need to wait for Part 108, CURN commercial licensing, or MEIA Phase 2 to begin generating revenue. Kevin's FAA Part 107 certification enables commercial drone operations under existing rules today. The following activities begin immediately:</w:t>
      </w:r>
    </w:p>
    <w:p>
      <w:pPr>
        <w:spacing w:before="60"/>
      </w:pPr>
      <w:r>
        <w:t xml:space="preserve"/>
      </w:r>
    </w:p>
    <w:p>
      <w:pPr>
        <w:pStyle w:val="ListParagraph"/>
        <w:numPr>
          <w:ilvl w:val="0"/>
          <w:numId w:val="2"/>
        </w:numPr>
        <w:spacing w:after="40" w:before="40"/>
      </w:pPr>
      <w:r>
        <w:rPr>
          <w:rFonts w:ascii="Calibri" w:cs="Calibri" w:eastAsia="Calibri" w:hAnsi="Calibri"/>
          <w:b w:val="false"/>
          <w:bCs w:val="false"/>
          <w:sz w:val="20"/>
          <w:szCs w:val="20"/>
        </w:rPr>
        <w:t>Initiate UMMS POC conversation — contact Pat Vizzard, VP Supply Chain, UMMS. Leverage Medline career experience as the credibility opener. Propose a Phase 1: Part 107 POC — a structured 30–60 day drone delivery pilot between the UMMS Sparrows Point LOC and UMMC downtown (~8 miles, Patapsco River corridor). Delivered at cost-plus-expenses: drone rental, flight operations, data collection, and a formal GHG reduction report benchmarked against the truck baseline. This gives UMMS a low-risk entry point, generates verifiable POC data for MEIA Phase 3 and future investor conversations, and establishes KAI-Netics as UMMS's first commercial drone delivery partner.</w:t>
      </w:r>
    </w:p>
    <w:p>
      <w:pPr>
        <w:pStyle w:val="ListParagraph"/>
        <w:numPr>
          <w:ilvl w:val="0"/>
          <w:numId w:val="2"/>
        </w:numPr>
        <w:spacing w:after="40" w:before="40"/>
      </w:pPr>
      <w:r>
        <w:rPr>
          <w:rFonts w:ascii="Calibri" w:cs="Calibri" w:eastAsia="Calibri" w:hAnsi="Calibri"/>
          <w:b w:val="false"/>
          <w:bCs w:val="false"/>
          <w:sz w:val="20"/>
          <w:szCs w:val="20"/>
        </w:rPr>
        <w:t>Initiate outreach to Dr. Timothy Amukele at Johns Hopkins — request 20-minute conversation to explore lab specimen and medical delivery research collaboration. UMGC student + CURN research angle is the opener.</w:t>
      </w:r>
    </w:p>
    <w:p>
      <w:pPr>
        <w:pStyle w:val="ListParagraph"/>
        <w:numPr>
          <w:ilvl w:val="0"/>
          <w:numId w:val="2"/>
        </w:numPr>
        <w:spacing w:after="40" w:before="40"/>
      </w:pPr>
      <w:r>
        <w:rPr>
          <w:rFonts w:ascii="Calibri" w:cs="Calibri" w:eastAsia="Calibri" w:hAnsi="Calibri"/>
          <w:b w:val="false"/>
          <w:bCs w:val="false"/>
          <w:sz w:val="20"/>
          <w:szCs w:val="20"/>
        </w:rPr>
        <w:t xml:space="preserve">Apply to UROC Summer 2026 Internship — project proposal: 'Commercial Viability of Sub-5lb Drone Delivery at the CURN Baltimore Endpoint: Medical Supply, Resiliency Hub, and Campus Delivery Use Cases.' UMGC enrollment is the eligibility credential.</w:t>
      </w:r>
    </w:p>
    <w:p>
      <w:pPr>
        <w:pStyle w:val="ListParagraph"/>
        <w:numPr>
          <w:ilvl w:val="0"/>
          <w:numId w:val="2"/>
        </w:numPr>
        <w:spacing w:after="40" w:before="40"/>
      </w:pPr>
      <w:r>
        <w:rPr>
          <w:rFonts w:ascii="Calibri" w:cs="Calibri" w:eastAsia="Calibri" w:hAnsi="Calibri"/>
          <w:b w:val="false"/>
          <w:bCs w:val="false"/>
          <w:sz w:val="20"/>
          <w:szCs w:val="20"/>
        </w:rPr>
        <w:t xml:space="preserve">Outreach to Baltimore Office of Sustainability (Aubrey Germ, aubrey.germ@baltimorecity.gov) — propose emergency supply drone delivery POC for resiliency hub network.</w:t>
      </w:r>
    </w:p>
    <w:p>
      <w:pPr>
        <w:pStyle w:val="ListParagraph"/>
        <w:numPr>
          <w:ilvl w:val="0"/>
          <w:numId w:val="2"/>
        </w:numPr>
        <w:spacing w:after="40" w:before="40"/>
      </w:pPr>
      <w:r>
        <w:rPr>
          <w:rFonts w:ascii="Calibri" w:cs="Calibri" w:eastAsia="Calibri" w:hAnsi="Calibri"/>
          <w:b w:val="false"/>
          <w:bCs w:val="false"/>
          <w:sz w:val="20"/>
          <w:szCs w:val="20"/>
        </w:rPr>
        <w:t xml:space="preserve">File MBE Certification with MD GOMA — unlocks government set-aside contract eligibility immediately upon certification.</w:t>
      </w:r>
    </w:p>
    <w:p>
      <w:pPr>
        <w:spacing w:before="80"/>
      </w:pPr>
      <w:r>
        <w:t xml:space="preserve"/>
      </w:r>
    </w:p>
    <w:p>
      <w:pPr>
        <w:pStyle w:val="Heading2"/>
        <w:spacing w:after="80" w:before="280"/>
      </w:pPr>
      <w:r>
        <w:rPr>
          <w:rFonts w:ascii="Calibri" w:cs="Calibri" w:eastAsia="Calibri" w:hAnsi="Calibri"/>
          <w:b/>
          <w:bCs/>
          <w:color w:val="028090"/>
          <w:sz w:val="26"/>
          <w:szCs w:val="26"/>
        </w:rPr>
        <w:t xml:space="preserve">6.2 Milestone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300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Milestone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Target Date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Success Metric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MEIA Phase 2 submitted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April 14,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Kevin / KAI-Netics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Submission confirmed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UROC internship application submitted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April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Kevin (UMGC)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Application in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UMMS POC conversation initiated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April–May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Jordan / Kevin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Meeting scheduled with Pat Vizzard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Dr. Amukele meeting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April–May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Kevin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20-min conversation held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MBE Certification filed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April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Kevin / EAF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Application submitted to MD GOMA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EAF Form 1023 submitted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April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Kevin / EAF Board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IRS submission confirmed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UROC internship starts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June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Active UROC team member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UMMS POC LOI signed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3 (Jul)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Kevin / FP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Signed letter of intent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First Part 107 revenue flights — full scope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April–May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Kevin / FP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Flights logged across all Part 107-eligible verticals: medical supply POC, lab specimen, bridge/infrastructure inspection, solar panel inspection, DFR SOP development, resiliency hub emergency supply, government/MBE small supply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CAKO Cohort 1 recruitment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4 (Aug)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EAF</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10+ applicants enrolled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EARN Maryland grant application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April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EAF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Application submitted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First revenue-generating delivery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April–May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First paid invoice; scope spans all Part 107-eligible verticals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CAKO Cohort 1 graduates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Month 9 (Jan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EAF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First CAKO-certified operators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SBIR Phase I application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Month 6 (Oct)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FP / UMGC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Application submitted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MEIA Phase 3 pitch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March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Phase 3 cohort accepted</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6.3 Customer Discovery Progress</w:t>
      </w:r>
    </w:p>
    <w:p>
      <w:pPr>
        <w:spacing w:after="60" w:before="60"/>
      </w:pPr>
      <w:r>
        <w:rPr>
          <w:rFonts w:ascii="Calibri" w:cs="Calibri" w:eastAsia="Calibri" w:hAnsi="Calibri"/>
          <w:sz w:val="20"/>
          <w:szCs w:val="20"/>
        </w:rPr>
        <w:t xml:space="preserve">Customer discovery has been ongoing through Kevin's career experience and market research. Key validated insights:</w:t>
      </w:r>
    </w:p>
    <w:p>
      <w:pPr>
        <w:pStyle w:val="ListParagraph"/>
        <w:numPr>
          <w:ilvl w:val="0"/>
          <w:numId w:val="2"/>
        </w:numPr>
        <w:spacing w:after="40" w:before="40"/>
      </w:pPr>
      <w:r>
        <w:rPr>
          <w:rFonts w:ascii="Calibri" w:cs="Calibri" w:eastAsia="Calibri" w:hAnsi="Calibri"/>
          <w:b w:val="false"/>
          <w:bCs w:val="false"/>
          <w:sz w:val="20"/>
          <w:szCs w:val="20"/>
        </w:rPr>
        <w:t xml:space="preserve">UMMS's COVID resilience mandate is explicit and ongoing — supply chain innovation is a stated organizational priority (Pat Vizzard, UMMS VP Supply Chain, public statements).</w:t>
      </w:r>
    </w:p>
    <w:p>
      <w:pPr>
        <w:pStyle w:val="ListParagraph"/>
        <w:numPr>
          <w:ilvl w:val="0"/>
          <w:numId w:val="2"/>
        </w:numPr>
        <w:spacing w:after="40" w:before="40"/>
      </w:pPr>
      <w:r>
        <w:rPr>
          <w:rFonts w:ascii="Calibri" w:cs="Calibri" w:eastAsia="Calibri" w:hAnsi="Calibri"/>
          <w:b w:val="false"/>
          <w:bCs w:val="false"/>
          <w:sz w:val="20"/>
          <w:szCs w:val="20"/>
        </w:rPr>
        <w:t xml:space="preserve">Medline's owned fleet is simultaneously its competitive moat and its largest cost/emissions liability — insider knowledge of fleet economics validates drone displacement economics.</w:t>
      </w:r>
    </w:p>
    <w:p>
      <w:pPr>
        <w:pStyle w:val="ListParagraph"/>
        <w:numPr>
          <w:ilvl w:val="0"/>
          <w:numId w:val="2"/>
        </w:numPr>
        <w:spacing w:after="40" w:before="40"/>
      </w:pPr>
      <w:r>
        <w:rPr>
          <w:rFonts w:ascii="Calibri" w:cs="Calibri" w:eastAsia="Calibri" w:hAnsi="Calibri"/>
          <w:b w:val="false"/>
          <w:bCs w:val="false"/>
          <w:sz w:val="20"/>
          <w:szCs w:val="20"/>
        </w:rPr>
        <w:t xml:space="preserve">Baltimore's Community Resiliency Hub network was designed to reduce GHG emissions and serve the most climate-vulnerable neighborhoods — drone delivery aligns with their stated operational mission.</w:t>
      </w:r>
    </w:p>
    <w:p>
      <w:pPr>
        <w:pStyle w:val="ListParagraph"/>
        <w:numPr>
          <w:ilvl w:val="0"/>
          <w:numId w:val="2"/>
        </w:numPr>
        <w:spacing w:after="40" w:before="40"/>
      </w:pPr>
      <w:r>
        <w:rPr>
          <w:rFonts w:ascii="Calibri" w:cs="Calibri" w:eastAsia="Calibri" w:hAnsi="Calibri"/>
          <w:b w:val="false"/>
          <w:bCs w:val="false"/>
          <w:sz w:val="20"/>
          <w:szCs w:val="20"/>
        </w:rPr>
        <w:t xml:space="preserve">UROC proved drone medical delivery is safe and operationally feasible in Baltimore in 2019 — the first kidney delivery by drone flew 2.8 miles across downtown Baltimore. The infrastructure precedent exists.</w:t>
      </w:r>
    </w:p>
    <w:p>
      <w:pPr>
        <w:pageBreakBefore/>
      </w:pPr>
      <w:r>
        <w:t xml:space="preserve"/>
      </w:r>
    </w:p>
    <w:p>
      <w:pPr>
        <w:pStyle w:val="Heading1"/>
        <w:spacing w:after="120" w:before="400"/>
      </w:pPr>
      <w:r>
        <w:rPr>
          <w:rFonts w:ascii="Calibri" w:cs="Calibri" w:eastAsia="Calibri" w:hAnsi="Calibri"/>
          <w:b/>
          <w:bCs/>
          <w:color w:val="1E3A5F"/>
          <w:sz w:val="32"/>
          <w:szCs w:val="32"/>
        </w:rPr>
        <w:t xml:space="preserve">7. Climate Impact &amp; MEIA Alignment</w:t>
      </w:r>
    </w:p>
    <w:p>
      <w:pPr>
        <w:pBdr>
          <w:left w:val="single" w:color="028090" w:sz="14" w:space="8"/>
        </w:pBdr>
        <w:shd w:fill="E8F4F8" w:val="clear"/>
        <w:spacing w:after="100" w:before="100"/>
        <w:ind w:left="360"/>
      </w:pPr>
      <w:r>
        <w:rPr>
          <w:rFonts w:ascii="Calibri" w:cs="Calibri" w:eastAsia="Calibri" w:hAnsi="Calibri"/>
          <w:b/>
          <w:bCs/>
          <w:color w:val="1E3A5F"/>
          <w:sz w:val="20"/>
          <w:szCs w:val="20"/>
        </w:rPr>
        <w:t xml:space="preserve">Every drone delivery replaces a truck trip. Every truck trip elimination reduces CO2 emissions. At scale, KAI-Netics' Baltimore delivery network could eliminate ~99 metric tons of CO2e annually from UMMS's supply chain alone — with a replicable model for Maryland's entire health system network.</w:t>
      </w:r>
    </w:p>
    <w:p>
      <w:pPr>
        <w:spacing w:before="80"/>
      </w:pPr>
      <w:r>
        <w:t xml:space="preserve"/>
      </w:r>
    </w:p>
    <w:p>
      <w:pPr>
        <w:pStyle w:val="Heading2"/>
        <w:spacing w:after="80" w:before="280"/>
      </w:pPr>
      <w:r>
        <w:rPr>
          <w:rFonts w:ascii="Calibri" w:cs="Calibri" w:eastAsia="Calibri" w:hAnsi="Calibri"/>
          <w:b/>
          <w:bCs/>
          <w:color w:val="028090"/>
          <w:sz w:val="26"/>
          <w:szCs w:val="26"/>
        </w:rPr>
        <w:t xml:space="preserve">7.1 Direct Emissions Reduction</w:t>
      </w:r>
    </w:p>
    <w:p>
      <w:pPr>
        <w:spacing w:after="60" w:before="60"/>
      </w:pPr>
      <w:r>
        <w:rPr>
          <w:rFonts w:ascii="Calibri" w:cs="Calibri" w:eastAsia="Calibri" w:hAnsi="Calibri"/>
          <w:sz w:val="20"/>
          <w:szCs w:val="20"/>
        </w:rPr>
        <w:t xml:space="preserve">KAI-Netics' drone deliveries are electrically powered, running on Maryland's grid (EPA eGrid emissions factor: ~0.35 lbs CO2e/kWh). Each delivery consumes approximately 0.1–0.3 kWh, generating 0.035–0.105 lbs CO2e — compared to 80–100 lbs CO2e for a Class 6–8 diesel truck run on the Medline Aberdeen-to-Sparrows Point route.</w:t>
      </w:r>
    </w:p>
    <w:p>
      <w:pPr>
        <w:spacing w:before="60"/>
      </w:pPr>
      <w:r>
        <w:t xml:space="preserve"/>
      </w:r>
    </w:p>
    <w:p>
      <w:pPr>
        <w:spacing w:after="60" w:before="60"/>
      </w:pPr>
      <w:r>
        <w:rPr>
          <w:rFonts w:ascii="Calibri" w:cs="Calibri" w:eastAsia="Calibri" w:hAnsi="Calibri"/>
          <w:sz w:val="20"/>
          <w:szCs w:val="20"/>
        </w:rPr>
        <w:t xml:space="preserve">The CURN routing principle — over the Chesapeake Bay — further reduces environmental impact by eliminating the need for ground-based charging infrastructure in vulnerable neighborhoods and minimizing ground risk from operations.</w:t>
      </w:r>
    </w:p>
    <w:p>
      <w:pPr>
        <w:spacing w:before="80"/>
      </w:pPr>
      <w:r>
        <w:t xml:space="preserve"/>
      </w:r>
    </w:p>
    <w:p>
      <w:pPr>
        <w:pStyle w:val="Heading2"/>
        <w:spacing w:after="80" w:before="280"/>
      </w:pPr>
      <w:r>
        <w:rPr>
          <w:rFonts w:ascii="Calibri" w:cs="Calibri" w:eastAsia="Calibri" w:hAnsi="Calibri"/>
          <w:b/>
          <w:bCs/>
          <w:color w:val="028090"/>
          <w:sz w:val="26"/>
          <w:szCs w:val="26"/>
        </w:rPr>
        <w:t xml:space="preserve">7.2 Green Collar Workforce — Community Climate Resilience</w:t>
      </w:r>
    </w:p>
    <w:p>
      <w:pPr>
        <w:spacing w:after="60" w:before="60"/>
      </w:pPr>
      <w:r>
        <w:rPr>
          <w:rFonts w:ascii="Calibri" w:cs="Calibri" w:eastAsia="Calibri" w:hAnsi="Calibri"/>
          <w:sz w:val="20"/>
          <w:szCs w:val="20"/>
        </w:rPr>
        <w:t xml:space="preserve">The EAF/CAKO program trains Baltimore residents in Maryland's most climate-vulnerable neighborhoods as FAA-certified drone operators. These are not minimum-wage gig positions — they are professional, credentialed, career-track roles in a growing industry. CAKO graduates earn market-rate wages from FP under the Talent Pipeline Agreement, building generational wealth in communities historically excluded from technology sector employment.</w:t>
      </w:r>
    </w:p>
    <w:p>
      <w:pPr>
        <w:spacing w:before="60"/>
      </w:pPr>
      <w:r>
        <w:t xml:space="preserve"/>
      </w:r>
    </w:p>
    <w:p>
      <w:pPr>
        <w:spacing w:after="60" w:before="60"/>
      </w:pPr>
      <w:r>
        <w:rPr>
          <w:rFonts w:ascii="Calibri" w:cs="Calibri" w:eastAsia="Calibri" w:hAnsi="Calibri"/>
          <w:sz w:val="20"/>
          <w:szCs w:val="20"/>
        </w:rPr>
        <w:t xml:space="preserve">This is the green collar story MEIA was designed to fund: climate technology that simultaneously reduces emissions and creates economic opportunity in frontline communities. KAI-Netics' EAF workforce model and MWVOB ownership status make it a flagship example of MEIA's Minority, Women, and Veteran-Owned Business priority.</w:t>
      </w:r>
    </w:p>
    <w:p>
      <w:pPr>
        <w:spacing w:before="80"/>
      </w:pPr>
      <w:r>
        <w:t xml:space="preserve"/>
      </w:r>
    </w:p>
    <w:p>
      <w:pPr>
        <w:pStyle w:val="Heading2"/>
        <w:spacing w:after="80" w:before="280"/>
      </w:pPr>
      <w:r>
        <w:rPr>
          <w:rFonts w:ascii="Calibri" w:cs="Calibri" w:eastAsia="Calibri" w:hAnsi="Calibri"/>
          <w:b/>
          <w:bCs/>
          <w:color w:val="028090"/>
          <w:sz w:val="26"/>
          <w:szCs w:val="26"/>
        </w:rPr>
        <w:t xml:space="preserve">7.3 Community Resiliency Infrastructure</w:t>
      </w:r>
    </w:p>
    <w:p>
      <w:pPr>
        <w:spacing w:after="60" w:before="60"/>
      </w:pPr>
      <w:r>
        <w:rPr>
          <w:rFonts w:ascii="Calibri" w:cs="Calibri" w:eastAsia="Calibri" w:hAnsi="Calibri"/>
          <w:sz w:val="20"/>
          <w:szCs w:val="20"/>
        </w:rPr>
        <w:t xml:space="preserve">Baltimore's Community Resiliency Hub network — seven solar-powered community centers in the city's most climate-vulnerable neighborhoods — serves as both delivery endpoint and embodiment of KAI-Netics' climate mission. Providing drone delivery service to these hubs during emergencies ensures that communities with the least access to traditional supply chains receive the fastest, most reliable service. This is climate adaptation in practice, not just in theory.</w:t>
      </w:r>
    </w:p>
    <w:p>
      <w:pPr>
        <w:spacing w:before="80"/>
      </w:pPr>
      <w:r>
        <w:t xml:space="preserve"/>
      </w:r>
    </w:p>
    <w:p>
      <w:pPr>
        <w:pStyle w:val="Heading2"/>
        <w:spacing w:after="80" w:before="280"/>
      </w:pPr>
      <w:r>
        <w:rPr>
          <w:rFonts w:ascii="Calibri" w:cs="Calibri" w:eastAsia="Calibri" w:hAnsi="Calibri"/>
          <w:b/>
          <w:bCs/>
          <w:color w:val="028090"/>
          <w:sz w:val="26"/>
          <w:szCs w:val="26"/>
        </w:rPr>
        <w:t xml:space="preserve">7.4 MEIA Program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MEIA Priority</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KAI-Netics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Clean energy 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Electric drone delivery eliminates diesel truck trips; CURN routing over water maximizes efficiency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GHG emissions reduction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Quantifiable: ~9 metric tons CO2e per delivery lane/year; ~99 tons at UMMS network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Minority, Women, Veteran-Owned (MWVOB)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KAI-Netics is a minority-owned Maryland LLC; MBE certification in progress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Maryland university ecosystem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Kevin is a current UMGC student and UROC internship applicant; CURN is UMD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Green collar workforce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EAF/CAKO trains Baltimore residents as drone operators; funded by EARN/workforce grants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Early-stage technology commercialization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Part 107 operational today; CURN infrastructure built; POC customer identified</w:t>
            </w:r>
          </w:p>
        </w:tc>
      </w:tr>
    </w:tbl>
    <w:p>
      <w:pPr>
        <w:pageBreakBefore/>
      </w:pPr>
      <w:r>
        <w:t xml:space="preserve"/>
      </w:r>
    </w:p>
    <w:p>
      <w:pPr>
        <w:pStyle w:val="Heading1"/>
        <w:spacing w:after="120" w:before="400"/>
      </w:pPr>
      <w:r>
        <w:rPr>
          <w:rFonts w:ascii="Calibri" w:cs="Calibri" w:eastAsia="Calibri" w:hAnsi="Calibri"/>
          <w:b/>
          <w:bCs/>
          <w:color w:val="1E3A5F"/>
          <w:sz w:val="32"/>
          <w:szCs w:val="32"/>
        </w:rPr>
        <w:t xml:space="preserve">8. The Ask</w:t>
      </w:r>
    </w:p>
    <w:p>
      <w:pPr>
        <w:pStyle w:val="Heading2"/>
        <w:spacing w:after="80" w:before="280"/>
      </w:pPr>
      <w:r>
        <w:rPr>
          <w:rFonts w:ascii="Calibri" w:cs="Calibri" w:eastAsia="Calibri" w:hAnsi="Calibri"/>
          <w:b/>
          <w:bCs/>
          <w:color w:val="028090"/>
          <w:sz w:val="26"/>
          <w:szCs w:val="26"/>
        </w:rPr>
        <w:t xml:space="preserve">8.1 MEIA Phase 2 Support Requested</w:t>
      </w:r>
    </w:p>
    <w:p>
      <w:pPr>
        <w:spacing w:after="60" w:before="60"/>
      </w:pPr>
      <w:r>
        <w:rPr>
          <w:rFonts w:ascii="Calibri" w:cs="Calibri" w:eastAsia="Calibri" w:hAnsi="Calibri"/>
          <w:sz w:val="20"/>
          <w:szCs w:val="20"/>
        </w:rPr>
        <w:t xml:space="preserve">KAI-Netics requests MEIA Phase 2 Accelerator program support in the following areas:</w:t>
      </w:r>
    </w:p>
    <w:p>
      <w:pPr>
        <w:spacing w:before="60"/>
      </w:pPr>
      <w:r>
        <w:t xml:space="preserve"/>
      </w:r>
    </w:p>
    <w:p>
      <w:pPr>
        <w:pStyle w:val="ListParagraph"/>
        <w:numPr>
          <w:ilvl w:val="0"/>
          <w:numId w:val="2"/>
        </w:numPr>
        <w:spacing w:after="40" w:before="40"/>
      </w:pPr>
      <w:r>
        <w:rPr>
          <w:rFonts w:ascii="Calibri" w:cs="Calibri" w:eastAsia="Calibri" w:hAnsi="Calibri"/>
          <w:b w:val="false"/>
          <w:bCs w:val="false"/>
          <w:sz w:val="20"/>
          <w:szCs w:val="20"/>
        </w:rPr>
        <w:t xml:space="preserve">Customer Validation Support: Facilitation of introductions to UMMS supply chain leadership and Maryland health system procurement networks, leveraging MEIA's industry connections.</w:t>
      </w:r>
    </w:p>
    <w:p>
      <w:pPr>
        <w:pStyle w:val="ListParagraph"/>
        <w:numPr>
          <w:ilvl w:val="0"/>
          <w:numId w:val="2"/>
        </w:numPr>
        <w:spacing w:after="40" w:before="40"/>
      </w:pPr>
      <w:r>
        <w:rPr>
          <w:rFonts w:ascii="Calibri" w:cs="Calibri" w:eastAsia="Calibri" w:hAnsi="Calibri"/>
          <w:b w:val="false"/>
          <w:bCs w:val="false"/>
          <w:sz w:val="20"/>
          <w:szCs w:val="20"/>
        </w:rPr>
        <w:t xml:space="preserve">Technical Assistance: Support developing the FAA Part 108 commercial carrier pathway and BVLOS corridor authorization process for the CURN Baltimore endpoint.</w:t>
      </w:r>
    </w:p>
    <w:p>
      <w:pPr>
        <w:pStyle w:val="ListParagraph"/>
        <w:numPr>
          <w:ilvl w:val="0"/>
          <w:numId w:val="2"/>
        </w:numPr>
        <w:spacing w:after="40" w:before="40"/>
      </w:pPr>
      <w:r>
        <w:rPr>
          <w:rFonts w:ascii="Calibri" w:cs="Calibri" w:eastAsia="Calibri" w:hAnsi="Calibri"/>
          <w:b w:val="false"/>
          <w:bCs w:val="false"/>
          <w:sz w:val="20"/>
          <w:szCs w:val="20"/>
        </w:rPr>
        <w:t xml:space="preserve">Business Development Resources: Access to MEIA's Executive and Entrepreneur in Residence (EEIR) program for supply chain and logistics expertise.</w:t>
      </w:r>
    </w:p>
    <w:p>
      <w:pPr>
        <w:pStyle w:val="ListParagraph"/>
        <w:numPr>
          <w:ilvl w:val="0"/>
          <w:numId w:val="2"/>
        </w:numPr>
        <w:spacing w:after="40" w:before="40"/>
      </w:pPr>
      <w:r>
        <w:rPr>
          <w:rFonts w:ascii="Calibri" w:cs="Calibri" w:eastAsia="Calibri" w:hAnsi="Calibri"/>
          <w:b w:val="false"/>
          <w:bCs w:val="false"/>
          <w:sz w:val="20"/>
          <w:szCs w:val="20"/>
        </w:rPr>
        <w:t xml:space="preserve">Network Access: Connections to Maryland clean energy investors and the Climate Technology Founders Fund (CTFF) for Phase 3 capital preparation.</w:t>
      </w:r>
    </w:p>
    <w:p>
      <w:pPr>
        <w:pStyle w:val="ListParagraph"/>
        <w:numPr>
          <w:ilvl w:val="0"/>
          <w:numId w:val="2"/>
        </w:numPr>
        <w:spacing w:after="40" w:before="40"/>
      </w:pPr>
      <w:r>
        <w:rPr>
          <w:rFonts w:ascii="Calibri" w:cs="Calibri" w:eastAsia="Calibri" w:hAnsi="Calibri"/>
          <w:b w:val="false"/>
          <w:bCs w:val="false"/>
          <w:sz w:val="20"/>
          <w:szCs w:val="20"/>
        </w:rPr>
        <w:t xml:space="preserve">Grant Navigation: Guidance on EARN Maryland, CDBG, and climate grant applications for the EAF/CAKO workforce program.</w:t>
      </w:r>
    </w:p>
    <w:p>
      <w:pPr>
        <w:spacing w:before="80"/>
      </w:pPr>
      <w:r>
        <w:t xml:space="preserve"/>
      </w:r>
    </w:p>
    <w:p/>
    <w:p>
      <w:pPr>
        <w:pStyle w:val="Heading2"/>
      </w:pPr>
      <w:r>
        <w:t>8.1a Capitalization &amp; Funding Sources</w:t>
      </w:r>
    </w:p>
    <w:p>
      <w:r>
        <w:t>KAI-Netics' commercialization path is funded through a combination of non-dilutive grants, at-cost POC contract revenue, sweat equity, and early recurring service contracts — structured to reach first managed service SLA before any equity raise is required.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80"/>
        <w:gridCol w:w="1680"/>
        <w:gridCol w:w="1680"/>
        <w:gridCol w:w="1680"/>
        <w:gridCol w:w="1680"/>
        <w:gridCol w:w="1680"/>
      </w:tblGrid>
      <w:tr>
        <w:tc>
          <w:tcPr>
            <w:tcW w:type="dxa" w:w="1680"/>
          </w:tcPr>
          <w:p>
            <w:r>
              <w:rPr>
                <w:b/>
                <w:sz w:val="16"/>
              </w:rPr>
              <w:t>Funding Source</w:t>
            </w:r>
          </w:p>
        </w:tc>
        <w:tc>
          <w:tcPr>
            <w:tcW w:type="dxa" w:w="1680"/>
          </w:tcPr>
          <w:p>
            <w:r>
              <w:rPr>
                <w:b/>
                <w:sz w:val="16"/>
              </w:rPr>
              <w:t>Type</w:t>
            </w:r>
          </w:p>
        </w:tc>
        <w:tc>
          <w:tcPr>
            <w:tcW w:type="dxa" w:w="1680"/>
          </w:tcPr>
          <w:p>
            <w:r>
              <w:rPr>
                <w:b/>
                <w:sz w:val="16"/>
              </w:rPr>
              <w:t>Entity</w:t>
            </w:r>
          </w:p>
        </w:tc>
        <w:tc>
          <w:tcPr>
            <w:tcW w:type="dxa" w:w="1680"/>
          </w:tcPr>
          <w:p>
            <w:r>
              <w:rPr>
                <w:b/>
                <w:sz w:val="16"/>
              </w:rPr>
              <w:t>Amount</w:t>
            </w:r>
          </w:p>
        </w:tc>
        <w:tc>
          <w:tcPr>
            <w:tcW w:type="dxa" w:w="1680"/>
          </w:tcPr>
          <w:p>
            <w:r>
              <w:rPr>
                <w:b/>
                <w:sz w:val="16"/>
              </w:rPr>
              <w:t>Timeline</w:t>
            </w:r>
          </w:p>
        </w:tc>
        <w:tc>
          <w:tcPr>
            <w:tcW w:type="dxa" w:w="1680"/>
          </w:tcPr>
          <w:p>
            <w:r>
              <w:rPr>
                <w:b/>
                <w:sz w:val="16"/>
              </w:rPr>
              <w:t>Status</w:t>
            </w:r>
          </w:p>
        </w:tc>
      </w:tr>
      <w:tr>
        <w:tc>
          <w:tcPr>
            <w:tcW w:type="dxa" w:w="1680"/>
          </w:tcPr>
          <w:p>
            <w:r>
              <w:rPr>
                <w:sz w:val="16"/>
              </w:rPr>
              <w:t>Phase 1: UMMS POC Contract</w:t>
            </w:r>
          </w:p>
        </w:tc>
        <w:tc>
          <w:tcPr>
            <w:tcW w:type="dxa" w:w="1680"/>
          </w:tcPr>
          <w:p>
            <w:r>
              <w:rPr>
                <w:sz w:val="16"/>
              </w:rPr>
              <w:t>At-cost POC revenue</w:t>
            </w:r>
          </w:p>
        </w:tc>
        <w:tc>
          <w:tcPr>
            <w:tcW w:type="dxa" w:w="1680"/>
          </w:tcPr>
          <w:p>
            <w:r>
              <w:rPr>
                <w:sz w:val="16"/>
              </w:rPr>
              <w:t>FP</w:t>
            </w:r>
          </w:p>
        </w:tc>
        <w:tc>
          <w:tcPr>
            <w:tcW w:type="dxa" w:w="1680"/>
          </w:tcPr>
          <w:p>
            <w:r>
              <w:rPr>
                <w:sz w:val="16"/>
              </w:rPr>
              <w:t>$2,500–$5,000</w:t>
            </w:r>
          </w:p>
        </w:tc>
        <w:tc>
          <w:tcPr>
            <w:tcW w:type="dxa" w:w="1680"/>
          </w:tcPr>
          <w:p>
            <w:r>
              <w:rPr>
                <w:sz w:val="16"/>
              </w:rPr>
              <w:t>Month 1–2</w:t>
            </w:r>
          </w:p>
        </w:tc>
        <w:tc>
          <w:tcPr>
            <w:tcW w:type="dxa" w:w="1680"/>
          </w:tcPr>
          <w:p>
            <w:r>
              <w:rPr>
                <w:sz w:val="16"/>
              </w:rPr>
              <w:t>Proposed</w:t>
            </w:r>
          </w:p>
        </w:tc>
      </w:tr>
      <w:tr>
        <w:tc>
          <w:tcPr>
            <w:tcW w:type="dxa" w:w="1680"/>
          </w:tcPr>
          <w:p>
            <w:r>
              <w:rPr>
                <w:sz w:val="16"/>
              </w:rPr>
              <w:t>Managed Service SLA (UMMS/health systems)</w:t>
            </w:r>
          </w:p>
        </w:tc>
        <w:tc>
          <w:tcPr>
            <w:tcW w:type="dxa" w:w="1680"/>
          </w:tcPr>
          <w:p>
            <w:r>
              <w:rPr>
                <w:sz w:val="16"/>
              </w:rPr>
              <w:t>Recurring contract revenue</w:t>
            </w:r>
          </w:p>
        </w:tc>
        <w:tc>
          <w:tcPr>
            <w:tcW w:type="dxa" w:w="1680"/>
          </w:tcPr>
          <w:p>
            <w:r>
              <w:rPr>
                <w:sz w:val="16"/>
              </w:rPr>
              <w:t>FP</w:t>
            </w:r>
          </w:p>
        </w:tc>
        <w:tc>
          <w:tcPr>
            <w:tcW w:type="dxa" w:w="1680"/>
          </w:tcPr>
          <w:p>
            <w:r>
              <w:rPr>
                <w:sz w:val="16"/>
              </w:rPr>
              <w:t>$8K–$15K/mo</w:t>
            </w:r>
          </w:p>
        </w:tc>
        <w:tc>
          <w:tcPr>
            <w:tcW w:type="dxa" w:w="1680"/>
          </w:tcPr>
          <w:p>
            <w:r>
              <w:rPr>
                <w:sz w:val="16"/>
              </w:rPr>
              <w:t>Month 3+</w:t>
            </w:r>
          </w:p>
        </w:tc>
        <w:tc>
          <w:tcPr>
            <w:tcW w:type="dxa" w:w="1680"/>
          </w:tcPr>
          <w:p>
            <w:r>
              <w:rPr>
                <w:sz w:val="16"/>
              </w:rPr>
              <w:t>Pipeline</w:t>
            </w:r>
          </w:p>
        </w:tc>
      </w:tr>
      <w:tr>
        <w:tc>
          <w:tcPr>
            <w:tcW w:type="dxa" w:w="1680"/>
          </w:tcPr>
          <w:p>
            <w:r>
              <w:rPr>
                <w:sz w:val="16"/>
              </w:rPr>
              <w:t>Sweat Equity (founder labor)</w:t>
            </w:r>
          </w:p>
        </w:tc>
        <w:tc>
          <w:tcPr>
            <w:tcW w:type="dxa" w:w="1680"/>
          </w:tcPr>
          <w:p>
            <w:r>
              <w:rPr>
                <w:sz w:val="16"/>
              </w:rPr>
              <w:t>Non-cash contribution</w:t>
            </w:r>
          </w:p>
        </w:tc>
        <w:tc>
          <w:tcPr>
            <w:tcW w:type="dxa" w:w="1680"/>
          </w:tcPr>
          <w:p>
            <w:r>
              <w:rPr>
                <w:sz w:val="16"/>
              </w:rPr>
              <w:t>FP/EAF</w:t>
            </w:r>
          </w:p>
        </w:tc>
        <w:tc>
          <w:tcPr>
            <w:tcW w:type="dxa" w:w="1680"/>
          </w:tcPr>
          <w:p>
            <w:r>
              <w:rPr>
                <w:sz w:val="16"/>
              </w:rPr>
              <w:t>—</w:t>
            </w:r>
          </w:p>
        </w:tc>
        <w:tc>
          <w:tcPr>
            <w:tcW w:type="dxa" w:w="1680"/>
          </w:tcPr>
          <w:p>
            <w:r>
              <w:rPr>
                <w:sz w:val="16"/>
              </w:rPr>
              <w:t>Ongoing</w:t>
            </w:r>
          </w:p>
        </w:tc>
        <w:tc>
          <w:tcPr>
            <w:tcW w:type="dxa" w:w="1680"/>
          </w:tcPr>
          <w:p>
            <w:r>
              <w:rPr>
                <w:sz w:val="16"/>
              </w:rPr>
              <w:t>Active</w:t>
            </w:r>
          </w:p>
        </w:tc>
      </w:tr>
      <w:tr>
        <w:tc>
          <w:tcPr>
            <w:tcW w:type="dxa" w:w="1680"/>
          </w:tcPr>
          <w:p>
            <w:r>
              <w:rPr>
                <w:sz w:val="16"/>
              </w:rPr>
              <w:t>MEA Resilient Maryland Program</w:t>
            </w:r>
          </w:p>
        </w:tc>
        <w:tc>
          <w:tcPr>
            <w:tcW w:type="dxa" w:w="1680"/>
          </w:tcPr>
          <w:p>
            <w:r>
              <w:rPr>
                <w:sz w:val="16"/>
              </w:rPr>
              <w:t>State grant (non-dilutive)</w:t>
            </w:r>
          </w:p>
        </w:tc>
        <w:tc>
          <w:tcPr>
            <w:tcW w:type="dxa" w:w="1680"/>
          </w:tcPr>
          <w:p>
            <w:r>
              <w:rPr>
                <w:sz w:val="16"/>
              </w:rPr>
              <w:t>EAF/FP</w:t>
            </w:r>
          </w:p>
        </w:tc>
        <w:tc>
          <w:tcPr>
            <w:tcW w:type="dxa" w:w="1680"/>
          </w:tcPr>
          <w:p>
            <w:r>
              <w:rPr>
                <w:sz w:val="16"/>
              </w:rPr>
              <w:t>~$50K–$200K</w:t>
            </w:r>
          </w:p>
        </w:tc>
        <w:tc>
          <w:tcPr>
            <w:tcW w:type="dxa" w:w="1680"/>
          </w:tcPr>
          <w:p>
            <w:r>
              <w:rPr>
                <w:sz w:val="16"/>
              </w:rPr>
              <w:t>Rolling — now</w:t>
            </w:r>
          </w:p>
        </w:tc>
        <w:tc>
          <w:tcPr>
            <w:tcW w:type="dxa" w:w="1680"/>
          </w:tcPr>
          <w:p>
            <w:r>
              <w:rPr>
                <w:sz w:val="16"/>
              </w:rPr>
              <w:t>Target</w:t>
            </w:r>
          </w:p>
        </w:tc>
      </w:tr>
      <w:tr>
        <w:tc>
          <w:tcPr>
            <w:tcW w:type="dxa" w:w="1680"/>
          </w:tcPr>
          <w:p>
            <w:r>
              <w:rPr>
                <w:sz w:val="16"/>
              </w:rPr>
              <w:t>EARN Maryland</w:t>
            </w:r>
          </w:p>
        </w:tc>
        <w:tc>
          <w:tcPr>
            <w:tcW w:type="dxa" w:w="1680"/>
          </w:tcPr>
          <w:p>
            <w:r>
              <w:rPr>
                <w:sz w:val="16"/>
              </w:rPr>
              <w:t>Workforce development grant</w:t>
            </w:r>
          </w:p>
        </w:tc>
        <w:tc>
          <w:tcPr>
            <w:tcW w:type="dxa" w:w="1680"/>
          </w:tcPr>
          <w:p>
            <w:r>
              <w:rPr>
                <w:sz w:val="16"/>
              </w:rPr>
              <w:t>EAF</w:t>
            </w:r>
          </w:p>
        </w:tc>
        <w:tc>
          <w:tcPr>
            <w:tcW w:type="dxa" w:w="1680"/>
          </w:tcPr>
          <w:p>
            <w:r>
              <w:rPr>
                <w:sz w:val="16"/>
              </w:rPr>
              <w:t>~$125K–$300K</w:t>
            </w:r>
          </w:p>
        </w:tc>
        <w:tc>
          <w:tcPr>
            <w:tcW w:type="dxa" w:w="1680"/>
          </w:tcPr>
          <w:p>
            <w:r>
              <w:rPr>
                <w:sz w:val="16"/>
              </w:rPr>
              <w:t>Month 2</w:t>
            </w:r>
          </w:p>
        </w:tc>
        <w:tc>
          <w:tcPr>
            <w:tcW w:type="dxa" w:w="1680"/>
          </w:tcPr>
          <w:p>
            <w:r>
              <w:rPr>
                <w:sz w:val="16"/>
              </w:rPr>
              <w:t>Target</w:t>
            </w:r>
          </w:p>
        </w:tc>
      </w:tr>
      <w:tr>
        <w:tc>
          <w:tcPr>
            <w:tcW w:type="dxa" w:w="1680"/>
          </w:tcPr>
          <w:p>
            <w:r>
              <w:rPr>
                <w:sz w:val="16"/>
              </w:rPr>
              <w:t>CDBG (Baltimore City)</w:t>
            </w:r>
          </w:p>
        </w:tc>
        <w:tc>
          <w:tcPr>
            <w:tcW w:type="dxa" w:w="1680"/>
          </w:tcPr>
          <w:p>
            <w:r>
              <w:rPr>
                <w:sz w:val="16"/>
              </w:rPr>
              <w:t>Community development grant</w:t>
            </w:r>
          </w:p>
        </w:tc>
        <w:tc>
          <w:tcPr>
            <w:tcW w:type="dxa" w:w="1680"/>
          </w:tcPr>
          <w:p>
            <w:r>
              <w:rPr>
                <w:sz w:val="16"/>
              </w:rPr>
              <w:t>EAF</w:t>
            </w:r>
          </w:p>
        </w:tc>
        <w:tc>
          <w:tcPr>
            <w:tcW w:type="dxa" w:w="1680"/>
          </w:tcPr>
          <w:p>
            <w:r>
              <w:rPr>
                <w:sz w:val="16"/>
              </w:rPr>
              <w:t>Varies</w:t>
            </w:r>
          </w:p>
        </w:tc>
        <w:tc>
          <w:tcPr>
            <w:tcW w:type="dxa" w:w="1680"/>
          </w:tcPr>
          <w:p>
            <w:r>
              <w:rPr>
                <w:sz w:val="16"/>
              </w:rPr>
              <w:t>Annual cycle</w:t>
            </w:r>
          </w:p>
        </w:tc>
        <w:tc>
          <w:tcPr>
            <w:tcW w:type="dxa" w:w="1680"/>
          </w:tcPr>
          <w:p>
            <w:r>
              <w:rPr>
                <w:sz w:val="16"/>
              </w:rPr>
              <w:t>Pipeline</w:t>
            </w:r>
          </w:p>
        </w:tc>
      </w:tr>
      <w:tr>
        <w:tc>
          <w:tcPr>
            <w:tcW w:type="dxa" w:w="1680"/>
          </w:tcPr>
          <w:p>
            <w:r>
              <w:rPr>
                <w:sz w:val="16"/>
              </w:rPr>
              <w:t>MEIA Phase 2 Engineering Support</w:t>
            </w:r>
          </w:p>
        </w:tc>
        <w:tc>
          <w:tcPr>
            <w:tcW w:type="dxa" w:w="1680"/>
          </w:tcPr>
          <w:p>
            <w:r>
              <w:rPr>
                <w:sz w:val="16"/>
              </w:rPr>
              <w:t>Non-cash prototyping ($30K to vendors)</w:t>
            </w:r>
          </w:p>
        </w:tc>
        <w:tc>
          <w:tcPr>
            <w:tcW w:type="dxa" w:w="1680"/>
          </w:tcPr>
          <w:p>
            <w:r>
              <w:rPr>
                <w:sz w:val="16"/>
              </w:rPr>
              <w:t>FP</w:t>
            </w:r>
          </w:p>
        </w:tc>
        <w:tc>
          <w:tcPr>
            <w:tcW w:type="dxa" w:w="1680"/>
          </w:tcPr>
          <w:p>
            <w:r>
              <w:rPr>
                <w:sz w:val="16"/>
              </w:rPr>
              <w:t>Up to $30K</w:t>
            </w:r>
          </w:p>
        </w:tc>
        <w:tc>
          <w:tcPr>
            <w:tcW w:type="dxa" w:w="1680"/>
          </w:tcPr>
          <w:p>
            <w:r>
              <w:rPr>
                <w:sz w:val="16"/>
              </w:rPr>
              <w:t>Current cohort</w:t>
            </w:r>
          </w:p>
        </w:tc>
        <w:tc>
          <w:tcPr>
            <w:tcW w:type="dxa" w:w="1680"/>
          </w:tcPr>
          <w:p>
            <w:r>
              <w:rPr>
                <w:sz w:val="16"/>
              </w:rPr>
              <w:t>Active</w:t>
            </w:r>
          </w:p>
        </w:tc>
      </w:tr>
      <w:tr>
        <w:tc>
          <w:tcPr>
            <w:tcW w:type="dxa" w:w="1680"/>
          </w:tcPr>
          <w:p>
            <w:r>
              <w:rPr>
                <w:sz w:val="16"/>
              </w:rPr>
              <w:t>NSF SBIR Phase I (UMGC affiliation)</w:t>
            </w:r>
          </w:p>
        </w:tc>
        <w:tc>
          <w:tcPr>
            <w:tcW w:type="dxa" w:w="1680"/>
          </w:tcPr>
          <w:p>
            <w:r>
              <w:rPr>
                <w:sz w:val="16"/>
              </w:rPr>
              <w:t>Federal R&amp;D — non-dilutive</w:t>
            </w:r>
          </w:p>
        </w:tc>
        <w:tc>
          <w:tcPr>
            <w:tcW w:type="dxa" w:w="1680"/>
          </w:tcPr>
          <w:p>
            <w:r>
              <w:rPr>
                <w:sz w:val="16"/>
              </w:rPr>
              <w:t>FP/UMGC</w:t>
            </w:r>
          </w:p>
        </w:tc>
        <w:tc>
          <w:tcPr>
            <w:tcW w:type="dxa" w:w="1680"/>
          </w:tcPr>
          <w:p>
            <w:r>
              <w:rPr>
                <w:sz w:val="16"/>
              </w:rPr>
              <w:t>~$275K</w:t>
            </w:r>
          </w:p>
        </w:tc>
        <w:tc>
          <w:tcPr>
            <w:tcW w:type="dxa" w:w="1680"/>
          </w:tcPr>
          <w:p>
            <w:r>
              <w:rPr>
                <w:sz w:val="16"/>
              </w:rPr>
              <w:t>Month 6</w:t>
            </w:r>
          </w:p>
        </w:tc>
        <w:tc>
          <w:tcPr>
            <w:tcW w:type="dxa" w:w="1680"/>
          </w:tcPr>
          <w:p>
            <w:r>
              <w:rPr>
                <w:sz w:val="16"/>
              </w:rPr>
              <w:t>Pipeline</w:t>
            </w:r>
          </w:p>
        </w:tc>
      </w:tr>
      <w:tr>
        <w:tc>
          <w:tcPr>
            <w:tcW w:type="dxa" w:w="1680"/>
          </w:tcPr>
          <w:p>
            <w:r>
              <w:rPr>
                <w:sz w:val="16"/>
              </w:rPr>
              <w:t>SBIR Phase I (SBA — pending reauth)</w:t>
            </w:r>
          </w:p>
        </w:tc>
        <w:tc>
          <w:tcPr>
            <w:tcW w:type="dxa" w:w="1680"/>
          </w:tcPr>
          <w:p>
            <w:r>
              <w:rPr>
                <w:sz w:val="16"/>
              </w:rPr>
              <w:t>Federal R&amp;D — non-dilutive</w:t>
            </w:r>
          </w:p>
        </w:tc>
        <w:tc>
          <w:tcPr>
            <w:tcW w:type="dxa" w:w="1680"/>
          </w:tcPr>
          <w:p>
            <w:r>
              <w:rPr>
                <w:sz w:val="16"/>
              </w:rPr>
              <w:t>FP/UMGC</w:t>
            </w:r>
          </w:p>
        </w:tc>
        <w:tc>
          <w:tcPr>
            <w:tcW w:type="dxa" w:w="1680"/>
          </w:tcPr>
          <w:p>
            <w:r>
              <w:rPr>
                <w:sz w:val="16"/>
              </w:rPr>
              <w:t>~$175K</w:t>
            </w:r>
          </w:p>
        </w:tc>
        <w:tc>
          <w:tcPr>
            <w:tcW w:type="dxa" w:w="1680"/>
          </w:tcPr>
          <w:p>
            <w:r>
              <w:rPr>
                <w:sz w:val="16"/>
              </w:rPr>
              <w:t>Month 6</w:t>
            </w:r>
          </w:p>
        </w:tc>
        <w:tc>
          <w:tcPr>
            <w:tcW w:type="dxa" w:w="1680"/>
          </w:tcPr>
          <w:p>
            <w:r>
              <w:rPr>
                <w:sz w:val="16"/>
              </w:rPr>
              <w:t>Contingent</w:t>
            </w:r>
          </w:p>
        </w:tc>
      </w:tr>
      <w:tr>
        <w:tc>
          <w:tcPr>
            <w:tcW w:type="dxa" w:w="1680"/>
          </w:tcPr>
          <w:p>
            <w:r>
              <w:rPr>
                <w:sz w:val="16"/>
              </w:rPr>
              <w:t>Angel / Pre-Seed Equity</w:t>
            </w:r>
          </w:p>
        </w:tc>
        <w:tc>
          <w:tcPr>
            <w:tcW w:type="dxa" w:w="1680"/>
          </w:tcPr>
          <w:p>
            <w:r>
              <w:rPr>
                <w:sz w:val="16"/>
              </w:rPr>
              <w:t>Equity capital raise</w:t>
            </w:r>
          </w:p>
        </w:tc>
        <w:tc>
          <w:tcPr>
            <w:tcW w:type="dxa" w:w="1680"/>
          </w:tcPr>
          <w:p>
            <w:r>
              <w:rPr>
                <w:sz w:val="16"/>
              </w:rPr>
              <w:t>FP</w:t>
            </w:r>
          </w:p>
        </w:tc>
        <w:tc>
          <w:tcPr>
            <w:tcW w:type="dxa" w:w="1680"/>
          </w:tcPr>
          <w:p>
            <w:r>
              <w:rPr>
                <w:sz w:val="16"/>
              </w:rPr>
              <w:t>TBD</w:t>
            </w:r>
          </w:p>
        </w:tc>
        <w:tc>
          <w:tcPr>
            <w:tcW w:type="dxa" w:w="1680"/>
          </w:tcPr>
          <w:p>
            <w:r>
              <w:rPr>
                <w:sz w:val="16"/>
              </w:rPr>
              <w:t>Month 6–9 post-POC</w:t>
            </w:r>
          </w:p>
        </w:tc>
        <w:tc>
          <w:tcPr>
            <w:tcW w:type="dxa" w:w="1680"/>
          </w:tcPr>
          <w:p>
            <w:r>
              <w:rPr>
                <w:sz w:val="16"/>
              </w:rPr>
              <w:t>Future</w:t>
            </w:r>
          </w:p>
        </w:tc>
      </w:tr>
      <w:tr>
        <w:tc>
          <w:tcPr>
            <w:tcW w:type="dxa" w:w="1680"/>
          </w:tcPr>
          <w:p>
            <w:r>
              <w:rPr>
                <w:sz w:val="16"/>
              </w:rPr>
              <w:t>MEIA Phase 3 / CTFF Investment</w:t>
            </w:r>
          </w:p>
        </w:tc>
        <w:tc>
          <w:tcPr>
            <w:tcW w:type="dxa" w:w="1680"/>
          </w:tcPr>
          <w:p>
            <w:r>
              <w:rPr>
                <w:sz w:val="16"/>
              </w:rPr>
              <w:t>Climate tech investment</w:t>
            </w:r>
          </w:p>
        </w:tc>
        <w:tc>
          <w:tcPr>
            <w:tcW w:type="dxa" w:w="1680"/>
          </w:tcPr>
          <w:p>
            <w:r>
              <w:rPr>
                <w:sz w:val="16"/>
              </w:rPr>
              <w:t>FP</w:t>
            </w:r>
          </w:p>
        </w:tc>
        <w:tc>
          <w:tcPr>
            <w:tcW w:type="dxa" w:w="1680"/>
          </w:tcPr>
          <w:p>
            <w:r>
              <w:rPr>
                <w:sz w:val="16"/>
              </w:rPr>
              <w:t>TBD</w:t>
            </w:r>
          </w:p>
        </w:tc>
        <w:tc>
          <w:tcPr>
            <w:tcW w:type="dxa" w:w="1680"/>
          </w:tcPr>
          <w:p>
            <w:r>
              <w:rPr>
                <w:sz w:val="16"/>
              </w:rPr>
              <w:t>March 2027</w:t>
            </w:r>
          </w:p>
        </w:tc>
        <w:tc>
          <w:tcPr>
            <w:tcW w:type="dxa" w:w="1680"/>
          </w:tcPr>
          <w:p>
            <w:r>
              <w:rPr>
                <w:sz w:val="16"/>
              </w:rPr>
              <w:t>Future</w:t>
            </w:r>
          </w:p>
        </w:tc>
      </w:tr>
    </w:tbl>
    <w:p/>
    <w:p>
      <w:pPr>
        <w:pStyle w:val="Heading2"/>
        <w:spacing w:after="80" w:before="280"/>
      </w:pPr>
      <w:r>
        <w:rPr>
          <w:rFonts w:ascii="Calibri" w:cs="Calibri" w:eastAsia="Calibri" w:hAnsi="Calibri"/>
          <w:b/>
          <w:bCs/>
          <w:color w:val="028090"/>
          <w:sz w:val="26"/>
          <w:szCs w:val="26"/>
        </w:rPr>
        <w:t xml:space="preserve">8.2 Proof of Concept Design</w:t>
      </w:r>
    </w:p>
    <w:p>
      <w:pPr>
        <w:spacing w:after="60" w:before="60"/>
      </w:pPr>
      <w:r>
        <w:rPr>
          <w:rFonts w:ascii="Calibri" w:cs="Calibri" w:eastAsia="Calibri" w:hAnsi="Calibri"/>
          <w:sz w:val="20"/>
          <w:szCs w:val="20"/>
        </w:rPr>
        <w:t>The proposed Phase 1: Part 107 POC is a structured drone delivery pilot between the UMMS Sparrows Point Logistics Operations Center and at least one UMMS hospital campus — specifically UMMC downtown — targeting sub-5lb medical supply deliveries that currently travel by truck. The pilot is delivered at cost-plus-expenses, providing UMMS with verifiable delivery performance data, a GHG reduction report for sustainability reporting, and a clear path to a managed service SLA contract.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POC Element</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UMMS LOC (Sparrows Point) → UMMC downtown (~8 miles via Patapsco River corridor)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Payload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Sub-5lb surgical kits, medical supplies, lab specimens (non-controlled)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Operations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Part 107 commercial operations; LAANC authorization; Remote ID compliant; drone rented or leased for pilot duration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Metrics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Delivery time, cost per delivery, CO2e per delivery, comparison to truck baseline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30–60 day pilot; minimum 50 deliveries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Success criteria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Delivery completion rate &gt;95%; cost per delivery &lt;50% of truck equivalent; CO2e reduction documented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Scale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Managed service SLA for UMMS network; Part 108 filing for BVLOS expansion</w:t>
            </w:r>
          </w:p>
        </w:tc>
      </w:tr>
      <w:tr>
        <w:tc>
          <w:tcPr>
            <w:tcW w:type="dxa" w:w="2400"/>
          </w:tcPr>
          <w:p>
            <w:r>
              <w:t>Pricing</w:t>
            </w:r>
          </w:p>
        </w:tc>
        <w:tc>
          <w:tcPr>
            <w:tcW w:type="dxa" w:w="6960"/>
          </w:tcPr>
          <w:p>
            <w:r>
              <w:t>At cost-plus-expenses (drone rental, flight operations, data analysis, GHG report); target $2,500–$5,000 for full 30–60 day pilot. Managed service SLA contract as follow-on.</w:t>
            </w:r>
          </w:p>
        </w:tc>
      </w:tr>
      <w:tr>
        <w:tc>
          <w:tcPr>
            <w:tcW w:type="dxa" w:w="2400"/>
          </w:tcPr>
          <w:p>
            <w:r>
              <w:t>Deliverables to UMMS</w:t>
            </w:r>
          </w:p>
        </w:tc>
        <w:tc>
          <w:tcPr>
            <w:tcW w:type="dxa" w:w="6960"/>
          </w:tcPr>
          <w:p>
            <w:r>
              <w:t>Flight logs, delivery time vs. truck baseline comparison, cost-per-delivery analysis, GHG reduction report (EPA MOVES + eGrid methodology) suitable for UMMS sustainability reporting</w:t>
            </w:r>
          </w:p>
        </w:tc>
      </w:tr>
    </w:tbl>
    <w:p>
      <w:pPr>
        <w:spacing w:before="80"/>
      </w:pPr>
      <w:r>
        <w:t xml:space="preserve"/>
      </w:r>
    </w:p>
    <w:p>
      <w:pPr>
        <w:pStyle w:val="Heading2"/>
        <w:spacing w:after="80" w:before="280"/>
      </w:pPr>
      <w:r>
        <w:rPr>
          <w:rFonts w:ascii="Calibri" w:cs="Calibri" w:eastAsia="Calibri" w:hAnsi="Calibri"/>
          <w:b/>
          <w:bCs/>
          <w:color w:val="028090"/>
          <w:sz w:val="26"/>
          <w:szCs w:val="26"/>
        </w:rPr>
        <w:t xml:space="preserve">8.3 Why KAI-Netics Wins This Market</w:t>
      </w:r>
    </w:p>
    <w:p>
      <w:pPr>
        <w:pStyle w:val="ListParagraph"/>
        <w:numPr>
          <w:ilvl w:val="0"/>
          <w:numId w:val="2"/>
        </w:numPr>
        <w:spacing w:after="40" w:before="40"/>
      </w:pPr>
      <w:r>
        <w:rPr>
          <w:rFonts w:ascii="Calibri" w:cs="Calibri" w:eastAsia="Calibri" w:hAnsi="Calibri"/>
          <w:b w:val="false"/>
          <w:bCs w:val="false"/>
          <w:sz w:val="20"/>
          <w:szCs w:val="20"/>
        </w:rPr>
        <w:t xml:space="preserve">Operational: FAA Part 107 certified today — no regulatory waiting period, no capital dependency to start generating revenue.</w:t>
      </w:r>
    </w:p>
    <w:p>
      <w:pPr>
        <w:pStyle w:val="ListParagraph"/>
        <w:numPr>
          <w:ilvl w:val="0"/>
          <w:numId w:val="2"/>
        </w:numPr>
        <w:spacing w:after="40" w:before="40"/>
      </w:pPr>
      <w:r>
        <w:rPr>
          <w:rFonts w:ascii="Calibri" w:cs="Calibri" w:eastAsia="Calibri" w:hAnsi="Calibri"/>
          <w:b w:val="false"/>
          <w:bCs w:val="false"/>
          <w:sz w:val="20"/>
          <w:szCs w:val="20"/>
        </w:rPr>
        <w:t xml:space="preserve">Insider: Medline career experience provides surgical kit delivery economics knowledge no external competitor can access.</w:t>
      </w:r>
    </w:p>
    <w:p>
      <w:pPr>
        <w:pStyle w:val="ListParagraph"/>
        <w:numPr>
          <w:ilvl w:val="0"/>
          <w:numId w:val="2"/>
        </w:numPr>
        <w:spacing w:after="40" w:before="40"/>
      </w:pPr>
      <w:r>
        <w:rPr>
          <w:rFonts w:ascii="Calibri" w:cs="Calibri" w:eastAsia="Calibri" w:hAnsi="Calibri"/>
          <w:b w:val="false"/>
          <w:bCs w:val="false"/>
          <w:sz w:val="20"/>
          <w:szCs w:val="20"/>
        </w:rPr>
        <w:t xml:space="preserve">Infrastructure: UMGC enrollment + UROC internship = inside access to CURN, the only statewide BVLOS network in Maryland.</w:t>
      </w:r>
    </w:p>
    <w:p>
      <w:pPr>
        <w:pStyle w:val="ListParagraph"/>
        <w:numPr>
          <w:ilvl w:val="0"/>
          <w:numId w:val="2"/>
        </w:numPr>
        <w:spacing w:after="40" w:before="40"/>
      </w:pPr>
      <w:r>
        <w:rPr>
          <w:rFonts w:ascii="Calibri" w:cs="Calibri" w:eastAsia="Calibri" w:hAnsi="Calibri"/>
          <w:b w:val="false"/>
          <w:bCs w:val="false"/>
          <w:sz w:val="20"/>
          <w:szCs w:val="20"/>
        </w:rPr>
        <w:t xml:space="preserve">Credibility: Dr. Amukele (Johns Hopkins) provides the medical delivery academic bridge; Dr. Kott (ARL) provides the defense/federal trust signal.</w:t>
      </w:r>
    </w:p>
    <w:p>
      <w:pPr>
        <w:pStyle w:val="ListParagraph"/>
        <w:numPr>
          <w:ilvl w:val="0"/>
          <w:numId w:val="2"/>
        </w:numPr>
        <w:spacing w:after="40" w:before="40"/>
      </w:pPr>
      <w:r>
        <w:rPr>
          <w:rFonts w:ascii="Calibri" w:cs="Calibri" w:eastAsia="Calibri" w:hAnsi="Calibri"/>
          <w:b w:val="false"/>
          <w:bCs w:val="false"/>
          <w:sz w:val="20"/>
          <w:szCs w:val="20"/>
        </w:rPr>
        <w:t xml:space="preserve">Mission: MWVOB minority-owned + EAF green collar workforce + CAKO program = the complete MEIA story in one company.</w:t>
      </w:r>
    </w:p>
    <w:p>
      <w:pPr>
        <w:pStyle w:val="ListParagraph"/>
        <w:numPr>
          <w:ilvl w:val="0"/>
          <w:numId w:val="2"/>
        </w:numPr>
        <w:spacing w:after="40" w:before="40"/>
      </w:pPr>
      <w:r>
        <w:rPr>
          <w:rFonts w:ascii="Calibri" w:cs="Calibri" w:eastAsia="Calibri" w:hAnsi="Calibri"/>
          <w:b w:val="false"/>
          <w:bCs w:val="false"/>
          <w:sz w:val="20"/>
          <w:szCs w:val="20"/>
        </w:rPr>
        <w:t xml:space="preserve">Moat: MONK hardware trust layer — cryptographically signed mission authorization — is a technical differentiator no competitor is building. It becomes the trust infrastructure for every commercial drone operator on CURN.</w:t>
      </w:r>
    </w:p>
    <w:p>
      <w:pPr>
        <w:pageBreakBefore/>
      </w:pPr>
      <w:r>
        <w:t xml:space="preserve"/>
      </w:r>
    </w:p>
    <w:p>
      <w:pPr>
        <w:pStyle w:val="Heading1"/>
        <w:spacing w:after="120" w:before="400"/>
      </w:pPr>
      <w:r>
        <w:rPr>
          <w:rFonts w:ascii="Calibri" w:cs="Calibri" w:eastAsia="Calibri" w:hAnsi="Calibri"/>
          <w:b/>
          <w:bCs/>
          <w:color w:val="1E3A5F"/>
          <w:sz w:val="32"/>
          <w:szCs w:val="32"/>
        </w:rPr>
        <w:t xml:space="preserve">Appendix A: Entity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Entity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EIN</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Kevin Alexander International LLC dba KAI-Netics (FP)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Maryland LLC (For-Profit)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46-2432851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Commercial drone operations, 3PL delivery, revenue generation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KAI-Netics Equity &amp; Autonomy Foundry (EAF)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Maryland Nonstock Corp (501c3 pending)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41-4820296</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CAKO workforce training, Maryland workforce grants, community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MONK LLC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IP Subsidiary (formation in progress; Q2 2026 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TBD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MONK hardware IP ownership; licensing to FP and EAF</w:t>
            </w:r>
          </w:p>
        </w:tc>
      </w:tr>
    </w:tbl>
    <w:p>
      <w:pPr>
        <w:spacing w:before="80"/>
      </w:pPr>
      <w:r>
        <w:t xml:space="preserve"/>
      </w:r>
    </w:p>
    <w:p>
      <w:pPr>
        <w:pStyle w:val="Heading1"/>
        <w:spacing w:after="120" w:before="400"/>
      </w:pPr>
      <w:r>
        <w:rPr>
          <w:rFonts w:ascii="Calibri" w:cs="Calibri" w:eastAsia="Calibri" w:hAnsi="Calibri"/>
          <w:b/>
          <w:bCs/>
          <w:color w:val="1E3A5F"/>
          <w:sz w:val="32"/>
          <w:szCs w:val="32"/>
        </w:rPr>
        <w:t xml:space="preserve">Appendix B: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Organization</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Pat Vizzard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VP Supply Chain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UMMS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Primary POC decision-maker for Sparrows Point LOC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Dr. Timothy Kien Amukele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Prospective Advisor (Outreach Initiated)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Johns Hopkins School of Medicine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Drone medical delivery pioneer; KAI-Netics is engaging for research collaboration and UMMS/Hopkins network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John Slaughter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Director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UMD UROC / CURN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CURN network lead; Kevin's UROC internship supervisor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Aubrey Germ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Climate &amp; Resilience Planner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Baltimore Office of Sustainability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18"/>
                <w:szCs w:val="18"/>
              </w:rPr>
              <w:t xml:space="preserve">Resiliency Hub program lead; drone delivery POC contact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Dr. Alexander Kott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Technical Advisor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Fmr. ARL Chief Scientist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MONK / SBIR / federal credibility</w:t>
            </w:r>
          </w:p>
        </w:tc>
      </w:tr>
    </w:tbl>
    <w:p>
      <w:pPr>
        <w:spacing w:before="80"/>
      </w:pPr>
      <w:r>
        <w:t xml:space="preserve"/>
      </w:r>
    </w:p>
    <w:p>
      <w:pPr>
        <w:spacing w:before="200"/>
      </w:pPr>
      <w:r>
        <w:rPr>
          <w:rFonts w:ascii="Calibri" w:cs="Calibri" w:eastAsia="Calibri" w:hAnsi="Calibri"/>
          <w:color w:val="888888"/>
          <w:sz w:val="16"/>
          <w:szCs w:val="16"/>
        </w:rPr>
        <w:t xml:space="preserve">Document prepared: April 2026  |  KAI-Netics  |  kas@kevin-llc.com  |  443.257.6836  |  kevin-llc.com</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KAI-Netics MEIA Phase 2 Commercialization Plan  |  CONFIDENTIAL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E3A5F"/>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02809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2026-04-11T02:05:15.708Z</dcterms:created>
  <dcterms:modified xsi:type="dcterms:W3CDTF">2026-04-11T02:05:15.708Z</dcterms:modified>
</cp:coreProperties>
</file>

<file path=docProps/custom.xml><?xml version="1.0" encoding="utf-8"?>
<Properties xmlns="http://schemas.openxmlformats.org/officeDocument/2006/custom-properties" xmlns:vt="http://schemas.openxmlformats.org/officeDocument/2006/docPropsVTypes"/>
</file>