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Microsoft YaHei" w:hAnsi="Arial"/>
          <w:b/>
          <w:bCs/>
          <w:color w:val="17232B"/>
          <w:sz w:val="48"/>
          <w:szCs w:val="48"/>
        </w:rPr>
        <w:t xml:space="preserve">差评在降，品质客诉在升</w:t>
      </w:r>
    </w:p>
    <w:p>
      <w:pPr>
        <w:spacing w:after="300"/>
      </w:pPr>
      <w:r>
        <w:rPr>
          <w:rFonts w:ascii="Arial" w:cs="Arial" w:eastAsia="Microsoft YaHei" w:hAnsi="Arial"/>
          <w:color w:val="0E6E6E"/>
          <w:sz w:val="26"/>
          <w:szCs w:val="26"/>
        </w:rPr>
        <w:t xml:space="preserve">电商品控专题分析报告：品质问题的结构、瓶颈与治理测算</w:t>
      </w:r>
    </w:p>
    <w:p>
      <w:pPr>
        <w:spacing w:after="60"/>
      </w:pPr>
      <w:r>
        <w:rPr>
          <w:rFonts w:ascii="Arial" w:cs="Arial" w:eastAsia="Microsoft YaHei" w:hAnsi="Arial"/>
          <w:b/>
          <w:bCs/>
          <w:color w:val="5E6B72"/>
          <w:sz w:val="19"/>
          <w:szCs w:val="19"/>
        </w:rPr>
        <w:t xml:space="preserve">数据：</w:t>
      </w:r>
      <w:r>
        <w:rPr>
          <w:rFonts w:ascii="Arial" w:cs="Arial" w:eastAsia="Microsoft YaHei" w:hAnsi="Arial"/>
          <w:color w:val="5E6B72"/>
          <w:sz w:val="19"/>
          <w:szCs w:val="19"/>
        </w:rPr>
        <w:t xml:space="preserve">Olist Brazilian E-Commerce Public Dataset（巴西电商平台脱敏真实订单）</w:t>
      </w:r>
    </w:p>
    <w:p>
      <w:pPr>
        <w:spacing w:after="60"/>
      </w:pPr>
      <w:r>
        <w:rPr>
          <w:rFonts w:ascii="Arial" w:cs="Arial" w:eastAsia="Microsoft YaHei" w:hAnsi="Arial"/>
          <w:b/>
          <w:bCs/>
          <w:color w:val="5E6B72"/>
          <w:sz w:val="19"/>
          <w:szCs w:val="19"/>
        </w:rPr>
        <w:t xml:space="preserve">分析窗口：</w:t>
      </w:r>
      <w:r>
        <w:rPr>
          <w:rFonts w:ascii="Arial" w:cs="Arial" w:eastAsia="Microsoft YaHei" w:hAnsi="Arial"/>
          <w:color w:val="5E6B72"/>
          <w:sz w:val="19"/>
          <w:szCs w:val="19"/>
        </w:rPr>
        <w:t xml:space="preserve">2017-01 至 2018-08（按下单月），签收订单 96,203 单</w:t>
      </w:r>
    </w:p>
    <w:p>
      <w:pPr>
        <w:spacing w:after="60"/>
      </w:pPr>
      <w:r>
        <w:rPr>
          <w:rFonts w:ascii="Arial" w:cs="Arial" w:eastAsia="Microsoft YaHei" w:hAnsi="Arial"/>
          <w:b/>
          <w:bCs/>
          <w:color w:val="5E6B72"/>
          <w:sz w:val="19"/>
          <w:szCs w:val="19"/>
        </w:rPr>
        <w:t xml:space="preserve">口径：</w:t>
      </w:r>
      <w:r>
        <w:rPr>
          <w:rFonts w:ascii="Arial" w:cs="Arial" w:eastAsia="Microsoft YaHei" w:hAnsi="Arial"/>
          <w:color w:val="5E6B72"/>
          <w:sz w:val="19"/>
          <w:szCs w:val="19"/>
        </w:rPr>
        <w:t xml:space="preserve">品控指标字典 v1.0（docs/品控指标字典.xlsx）</w:t>
      </w:r>
    </w:p>
    <w:p>
      <w:pPr>
        <w:spacing w:after="60"/>
      </w:pPr>
      <w:r>
        <w:rPr>
          <w:rFonts w:ascii="Arial" w:cs="Arial" w:eastAsia="Microsoft YaHei" w:hAnsi="Arial"/>
          <w:b/>
          <w:bCs/>
          <w:color w:val="5E6B72"/>
          <w:sz w:val="19"/>
          <w:szCs w:val="19"/>
        </w:rPr>
        <w:t xml:space="preserve">复现：</w:t>
      </w:r>
      <w:r>
        <w:rPr>
          <w:rFonts w:ascii="Arial" w:cs="Arial" w:eastAsia="Microsoft YaHei" w:hAnsi="Arial"/>
          <w:color w:val="5E6B72"/>
          <w:sz w:val="19"/>
          <w:szCs w:val="19"/>
        </w:rPr>
        <w:t xml:space="preserve">python scripts/run_pipeline.py（MySQL 8.0）</w:t>
      </w:r>
    </w:p>
    <w:p>
      <w:pPr>
        <w:pBdr>
          <w:bottom w:val="single" w:color="D5DADB" w:sz="6" w:space="8"/>
        </w:pBdr>
        <w:spacing w:after="240"/>
      </w:pPr>
    </w:p>
    <w:p>
      <w:pPr>
        <w:pStyle w:val="Heading1"/>
      </w:pPr>
      <w:r>
        <w:rPr>
          <w:rFonts w:ascii="Arial" w:cs="Arial" w:eastAsia="Microsoft YaHei" w:hAnsi="Arial"/>
        </w:rPr>
        <w:t xml:space="preserve">摘要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4F0EF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140" w:line="340"/>
            </w:pPr>
            <w:r>
              <w:rPr>
                <w:rFonts w:ascii="Arial" w:cs="Arial" w:eastAsia="Microsoft YaHei" w:hAnsi="Arial"/>
                <w:sz w:val="21"/>
                <w:szCs w:val="21"/>
              </w:rPr>
              <w:t xml:space="preserve">差评率由物流主导，不能用来评价品控：2018 年 3 月物流危机时准时签收率跌到 81.0%，差评率冲到 22.8%；物流恢复后 8 月差评率回落到 10.9%。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40" w:line="340"/>
            </w:pPr>
            <w:r>
              <w:rPr>
                <w:rFonts w:ascii="Arial" w:cs="Arial" w:eastAsia="Microsoft YaHei" w:hAnsi="Arial"/>
                <w:sz w:val="21"/>
                <w:szCs w:val="21"/>
              </w:rPr>
              <w:t xml:space="preserve">品质客诉率在上升：2017 年 4.31% → 2018 年 1-8 月 5.00%（+0.69pp，z = 5.05，p &lt; 0.0001），p 控制图上自 2017 年 10 月起连续 11 个月高于 2017 年基线；1-2 星差评中品质类占比从 2017Q1 的 22% 升到 2018Q3 的 35%。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40" w:line="340"/>
            </w:pPr>
            <w:r>
              <w:rPr>
                <w:rFonts w:ascii="Arial" w:cs="Arial" w:eastAsia="Microsoft YaHei" w:hAnsi="Arial"/>
                <w:sz w:val="21"/>
                <w:szCs w:val="21"/>
              </w:rPr>
              <w:t xml:space="preserve">上升不是结构变化，而是同类订单变差：因素分解中结构效应 −0.01pp、组内效应 +0.74pp；增长最快的是货不对板（+33%）和假货（+83%）。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40" w:line="340"/>
            </w:pPr>
            <w:r>
              <w:rPr>
                <w:rFonts w:ascii="Arial" w:cs="Arial" w:eastAsia="Microsoft YaHei" w:hAnsi="Arial"/>
                <w:sz w:val="21"/>
                <w:szCs w:val="21"/>
              </w:rPr>
              <w:t xml:space="preserve">三个瓶颈：① 多件订单占签收单 10%，贡献 34% 的品质客诉和 74% 的少件客诉；② 10 家高风险商家占 3.6% 订单、贡献 12.5% 品质客诉；③ 办公家具品质客诉率 10.8%，3C/钟表假货集中，信息缺失商品假货投诉率约为信息完整商品的 9 倍。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40" w:line="340"/>
            </w:pPr>
            <w:r>
              <w:rPr>
                <w:rFonts w:ascii="Arial" w:cs="Arial" w:eastAsia="Microsoft YaHei" w:hAnsi="Arial"/>
                <w:sz w:val="21"/>
                <w:szCs w:val="21"/>
              </w:rPr>
              <w:t xml:space="preserve">唯品会视角：穿戴类品质客诉率涨得更快（3.7% → 5.1%）；按唯品会穿戴类约 75% 的品类结构重新加权，假货投诉从每万单 22 升到 45，正品管控的优先级应高于 Olist 场景。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line="340"/>
            </w:pPr>
            <w:r>
              <w:rPr>
                <w:rFonts w:ascii="Arial" w:cs="Arial" w:eastAsia="Microsoft YaHei" w:hAnsi="Arial"/>
                <w:sz w:val="21"/>
                <w:szCs w:val="21"/>
              </w:rPr>
              <w:t xml:space="preserve">三项举措（多件订单出库复核、高风险商家整改、3C/钟表正品专项）中性情景下可把品质客诉率从 5.00% 降到 3.82%，达到 4.0% 的目标线；三档情景区间 3.34%–4.32%。</w:t>
            </w:r>
          </w:p>
        </w:tc>
      </w:tr>
    </w:tbl>
    <w:p>
      <w:pPr>
        <w:spacing w:after="120" w:line="360"/>
      </w:pPr>
      <w:r>
        <w:rPr>
          <w:rFonts w:ascii="Arial" w:cs="Arial" w:eastAsia="Microsoft YaHei" w:hAnsi="Arial"/>
        </w:rPr>
        <w:t xml:space="preserv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1. 背景与问题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2018 年平台差评率从 3 月的高点快速回落，直觉上会认为用户体验在改善。但差评是多种原因的混合：没收到货、送得慢、服务差、商品本身有问题。对品控团队来说，关心的是其中"商品本身有问题"的那一部分是否也在改善。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本报告要回答四个问题：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差评率下降，是否代表商品品质在改善？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如果品质问题在上升，是卖了更多高风险品类（结构变化），还是同类商品本身变差（组内恶化）？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品质问题集中在哪里：哪类问题、哪类订单、哪些商家、哪些品类？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有哪些可落地的举措，能把品质客诉率降到多少？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2. 数据与口径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2.1 数据来源与业务映射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使用 Olist 公开的巴西电商平台真实订单数据，共 99,441 个订单、112,650 个商品行、99,224 条评价（去重后 98,673 条）、3,095 家商家、32,951 个商品、73 个品类。各表行数与官方数据集一致。2016 年（仅 300 余单）和 2018 年 9 月以后（仅 20 单）数据不完整，分析窗口取 2017-01 至 2018-08。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3410"/>
        <w:gridCol w:w="3008"/>
      </w:tblGrid>
      <w:tr>
        <w:trPr>
          <w:tblHeader/>
        </w:trP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唯品会品控环节</w:t>
            </w:r>
          </w:p>
        </w:tc>
        <w:tc>
          <w:tcPr>
            <w:tcW w:type="dxa" w:w="3410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本项目数据</w:t>
            </w:r>
          </w:p>
        </w:tc>
        <w:tc>
          <w:tcPr>
            <w:tcW w:type="dxa" w:w="30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供应商 / 品牌方</w:t>
            </w:r>
          </w:p>
        </w:tc>
        <w:tc>
          <w:tcPr>
            <w:tcW w:type="dxa" w:w="3410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Olist 商家（seller）</w:t>
            </w:r>
          </w:p>
        </w:tc>
        <w:tc>
          <w:tcPr>
            <w:tcW w:type="dxa" w:w="30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直接映射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客诉 / 售后工单</w:t>
            </w:r>
          </w:p>
        </w:tc>
        <w:tc>
          <w:tcPr>
            <w:tcW w:type="dxa" w:w="3410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评价星级 + 评价原文（葡语）</w:t>
            </w:r>
          </w:p>
        </w:tc>
        <w:tc>
          <w:tcPr>
            <w:tcW w:type="dxa" w:w="30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用文本打标还原问题类型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供应商发货时效</w:t>
            </w:r>
          </w:p>
        </w:tc>
        <w:tc>
          <w:tcPr>
            <w:tcW w:type="dxa" w:w="3410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shipping_limit_date（发货 SLA）</w:t>
            </w:r>
          </w:p>
        </w:tc>
        <w:tc>
          <w:tcPr>
            <w:tcW w:type="dxa" w:w="30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直接映射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商品详情页质量</w:t>
            </w:r>
          </w:p>
        </w:tc>
        <w:tc>
          <w:tcPr>
            <w:tcW w:type="dxa" w:w="3410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品类、图片数、描述字数</w:t>
            </w:r>
          </w:p>
        </w:tc>
        <w:tc>
          <w:tcPr>
            <w:tcW w:type="dxa" w:w="30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映射为商品信息完整率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入仓质检 / 退货原因</w:t>
            </w:r>
          </w:p>
        </w:tc>
        <w:tc>
          <w:tcPr>
            <w:tcW w:type="dxa" w:w="3410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无</w:t>
            </w:r>
          </w:p>
        </w:tc>
        <w:tc>
          <w:tcPr>
            <w:tcW w:type="dxa" w:w="30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已定义口径，待接入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Microsoft YaHei" w:hAnsi="Arial"/>
        </w:rPr>
        <w:t xml:space="preserve">2.2 核心口径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品质客诉单：签收订单中，用户最后一次评价为 1-3 星，且评价文本命中假货 / 质量缺陷 / 货不对板 / 少件漏发 / 包装破损任一类问题。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品质客诉率 = 品质客诉单 ÷ 签收单；分子分母都按下单月归属（cohort），保证是同一批订单。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签收 = 订单状态为 delivered 且签收时间不为空；同一订单多条评价时保留最后一次提交的评价。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问题类型允许多选（一条评价可同时命中多类）；需要互斥结构时，按"假货 &gt; 质量缺陷 &gt; 货不对板 &gt; 少件漏发 &gt; 包装 &gt; 未收货 &gt; 延迟 &gt; 服务"取主标签。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2.3 评价文本打标与准确性评估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公开数据没有客诉工单，本项目用葡语关键词规则把评价文本打成 8 类问题标签。规则先做小写与去重音归一化，并剔除"sem defeito（没有瑕疵）"这类否定式表述。打标质量做了两轮评估。两轮的判定都由大模型（Claude）逐条阅读葡语原文完成，每条附中文释义，样本文件在 outputs/qa/，可以逐条人工抽查。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第一轮（规则迭代期 v0.4，只看准确率）：按规则打出的标签分层抽样 140 条（7 类 × 20 条），综合准确率 88.6%。误判样本用于修正规则（v0.4 → v1.0）：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1605"/>
        <w:gridCol w:w="4813"/>
      </w:tblGrid>
      <w:tr>
        <w:trPr>
          <w:tblHeader/>
        </w:trP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问题类型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v0.4 准确率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主要误判（已修正）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假货 / 非正品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100%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包装破损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100%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少件 / 漏发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90%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发票金额问题、裸发无包装被误判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物流延迟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90%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"保质期"中的"prazo"被误判为时效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货不对板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85%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运费、部分到货被误判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质量缺陷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80%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"lixo（垃圾）"等骂店铺的泛化词</w:t>
            </w:r>
          </w:p>
        </w:tc>
      </w:tr>
      <w:tr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未收到货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75%</w:t>
            </w:r>
          </w:p>
        </w:tc>
        <w:tc>
          <w:tcPr>
            <w:tcW w:type="dxa" w:w="481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部分到货被归为未收货</w:t>
            </w:r>
          </w:p>
        </w:tc>
      </w:tr>
    </w:tbl>
    <w:p>
      <w:pPr>
        <w:spacing w:after="160"/>
      </w:pPr>
    </w:p>
    <w:p>
      <w:pPr>
        <w:spacing w:after="120" w:line="360"/>
      </w:pPr>
      <w:r>
        <w:rPr>
          <w:rFonts w:ascii="Arial" w:cs="Arial" w:eastAsia="Microsoft YaHei" w:hAnsi="Arial"/>
        </w:rPr>
        <w:t xml:space="preserve">第二轮（v1.0 定版后，准确率 + 召回率）：第一轮只抽"打上了标签"的评价，算不出漏标。第二轮从 12,780 条"已签收、1-3 星、有文字"的评价中随机抽 200 条盲评（判定时不看规则结果），再与规则结果对比：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2006"/>
        <w:gridCol w:w="2006"/>
        <w:gridCol w:w="2005"/>
      </w:tblGrid>
      <w:tr>
        <w:trPr>
          <w:tblHeader/>
        </w:trP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问题类型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金标准条数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准确率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召回率</w:t>
            </w:r>
          </w:p>
        </w:tc>
      </w:tr>
      <w:t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假货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5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100%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质量缺陷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30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93%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87%</w:t>
            </w:r>
          </w:p>
        </w:tc>
      </w:tr>
      <w:t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货不对板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34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83%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56%</w:t>
            </w:r>
          </w:p>
        </w:tc>
      </w:tr>
      <w:t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少件/漏发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39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97%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72%</w:t>
            </w:r>
          </w:p>
        </w:tc>
      </w:tr>
      <w:t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包装破损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5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100%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30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合计（任一品质问题）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102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97.4%</w:t>
            </w:r>
          </w:p>
        </w:tc>
        <w:tc>
          <w:tcPr>
            <w:tcW w:type="dxa" w:w="20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74.5%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规则准确率高、召回率偏低，属于偏保守：漏标主要是货不对板的多样说法（"寄来的和买的不像""颜色型号被换"）和部分到货。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绝对值：真实品质客诉率 ≈ 规则值 × 准确率 ÷ 召回率，校正系数约 1.31，2018 年 1-8 月真实值约 6.5%。报告中的品质客诉率统一按规则口径，是保守值。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趋势：2017 年、2018 年召回率分别为 78%、72%（样本 41 / 61 条，差异不显著）。2018 年召回率不高于 2017 年，所以真实的上升幅度只会更大，两年对比和结构性结论不受漏标影响。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下一步：用这 200 条作为开发集迭代规则 v1.1，再随机抽一批新样本做测试集，避免在评估集上过拟合。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2.4 数据质量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每次跑数自动执行 18 项校验（跨层对账、主键唯一、分子 ≤ 分母、比率在 [0,1] 等），全部通过。已知问题如 189 单时间倒挂、547 单重复评价、249 单支付与商品金额不一致，均在 outputs/qa/dq_report.md 中披露并写明处理方式。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3. 分析发现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3.1 差评率跟着物流走，品质客诉率在上升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43375"/>
            <wp:effectExtent t="0" r="0" b="0" l="0"/>
            <wp:docPr id="1" name="fig01_trend_small_multiples.png" descr="图 1　差评率、准时签收率与品质客诉率（三个量纲不同的指标分开画，不使用双轴）" title="图 1　差评率、准时签收率与品质客诉率（三个量纲不同的指标分开画，不使用双轴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1　差评率、准时签收率与品质客诉率（三个量纲不同的指标分开画，不使用双轴）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差评率和准时签收率几乎是镜像：2017 年 11 月（黑五）和 2018 年 2-3 月准时率下滑时，差评率同步冲高；4 月之后物流恢复，差评率回到 11%-13%。品质客诉率的走势与之无关：2017 年上半年约 4.2%，下半年 4.4%，2018 年 1-8 月升至 5.0%。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注：2018 年 8 月品质客诉率回落到 4.4%，部分原因是最近下单的订单评价尚在回收（右删失），不宜解读为好转。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657475"/>
            <wp:effectExtent t="0" r="0" b="0" l="0"/>
            <wp:docPr id="1" name="fig08_p_chart.png" descr="图 2　品质客诉率 p 控制图（阶段Ⅰ = 2017 年，中心线 p0 = 4.31%，控制限 ±3σ 随月签收量变化）" title="图 2　品质客诉率 p 控制图（阶段Ⅰ = 2017 年，中心线 p0 = 4.31%，控制限 ±3σ 随月签收量变化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2　品质客诉率 p 控制图（阶段Ⅰ = 2017 年，中心线 p0 = 4.31%，控制限 ±3σ 随月签收量变化）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上升是趋势还是随机波动？用统计过程控制（SPC）判断：以 2017 年为阶段Ⅰ建立基线（12 个月全部在控制限内），中心线 p0 = 4.31%，控制限 p0 ± 3√(p0(1 − p0) / n)，n 为当月签收单。2018 年进入阶段Ⅱ后，2018 年 2 月、2018 年 5 月、2018 年 6 月越出上控制限；自 2017 年 10 月起连续 11 个月高于中心线，在 2018 年 6 月触发"连续 9 点在中心线同侧"判异准则。结论：过程均值发生了持续偏移，不是随机波动。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9"/>
        <w:gridCol w:w="3811"/>
        <w:gridCol w:w="2006"/>
      </w:tblGrid>
      <w:tr>
        <w:trPr>
          <w:tblHeader/>
        </w:trP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检验</w:t>
            </w:r>
          </w:p>
        </w:tc>
        <w:tc>
          <w:tcPr>
            <w:tcW w:type="dxa" w:w="3811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结果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结论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品质客诉率 2017 vs 2018 年 1-8 月（两比例 z 检验）</w:t>
            </w:r>
          </w:p>
        </w:tc>
        <w:tc>
          <w:tcPr>
            <w:tcW w:type="dxa" w:w="3811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z = 5.05，p &lt; 0.0001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显著上升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95% 置信区间（Wilson）</w:t>
            </w:r>
          </w:p>
        </w:tc>
        <w:tc>
          <w:tcPr>
            <w:tcW w:type="dxa" w:w="3811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2017：4.12%–4.50%；2018：4.82%–5.19%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区间不重叠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货不对板率 / 假货投诉率</w:t>
            </w:r>
          </w:p>
        </w:tc>
        <w:tc>
          <w:tcPr>
            <w:tcW w:type="dxa" w:w="3811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z = 5.19 / z = 3.51（p = 0.0005）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均显著上升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Microsoft YaHei" w:hAnsi="Arial"/>
        </w:rPr>
        <w:t xml:space="preserve">3.2 差评里，品质问题占比从 22% 升到 35%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867025"/>
            <wp:effectExtent t="0" r="0" b="0" l="0"/>
            <wp:docPr id="1" name="fig02_bad_review_reason_mix.png" descr="图 3　1-2 星差评的原因结构（按主标签，互斥口径）" title="图 3　1-2 星差评的原因结构（按主标签，互斥口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3　1-2 星差评的原因结构（按主标签，互斥口径）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2017 年各季度，品质类在差评中占 22%-27%；2018Q2 起跳到 34%-35%。履约类占比在物流危机的 2018Q1 最高（33%），之后回落。物流问题被解决后，剩下的差评里品质问题越来越突出。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3.3 上升来自同类订单变差，而非结构变化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平台品质客诉率可以写成各一级类目的加权平均：R = Σ wᵢ·rᵢ（wᵢ 为类目签收单占比，rᵢ 为类目品质客诉率）。两期变化可分解为：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结构效应 Σ Δwᵢ·rᵢ⁰ = −0.01pp：高客诉类目卖得更多带来的变化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组内效应 Σ wᵢ⁰·Δrᵢ = +0.74pp：类目自身客诉率变化带来的变化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交互项 Σ Δwᵢ·Δrᵢ = −0.04pp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结论：上升几乎全部来自组内效应；按单件 / 多件订单分解结果相同（结构效应 −0.01pp）。组内贡献最大的类目依次是 3C 数码、钟表礼品、家居家纺、母婴玩具。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409825"/>
            <wp:effectExtent t="0" r="0" b="0" l="0"/>
            <wp:docPr id="1" name="fig03_type_yoy.png" descr="图 4　各类品质问题发生率：2017 全年 vs 2018 年 1-8 月" title="图 4　各类品质问题发生率：2017 全年 vs 2018 年 1-8 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4　各类品质问题发生率：2017 全年 vs 2018 年 1-8 月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分问题类型看，货不对板（1.20% → 1.60%，+33%）和假货（0.12% → 0.22%，+83%）增长最快；质量缺陷基本持平（+5%）。问题更多出在"描述与实物不符"和"正品管控"，而不是生产质量。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3.4 瓶颈①：多件订单的少件 / 漏发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238375"/>
            <wp:effectExtent t="0" r="0" b="0" l="0"/>
            <wp:docPr id="1" name="fig04_order_structure.png" descr="图 5　不同订单结构的品质客诉率（橙色为少件 / 漏发）" title="图 5　不同订单结构的品质客诉率（橙色为少件 / 漏发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5　不同订单结构的品质客诉率（橙色为少件 / 漏发）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1404"/>
        <w:gridCol w:w="1103"/>
        <w:gridCol w:w="1504"/>
        <w:gridCol w:w="1504"/>
        <w:gridCol w:w="1505"/>
      </w:tblGrid>
      <w:tr>
        <w:trPr>
          <w:tblHeader/>
        </w:trPr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订单结构</w:t>
            </w:r>
          </w:p>
        </w:tc>
        <w:tc>
          <w:tcPr>
            <w:tcW w:type="dxa" w:w="14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签收单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占比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品质客诉率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少件 / 漏发率</w:t>
            </w:r>
          </w:p>
        </w:tc>
        <w:tc>
          <w:tcPr>
            <w:tcW w:type="dxa" w:w="15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差评率</w:t>
            </w:r>
          </w:p>
        </w:tc>
      </w:tr>
      <w:tr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单件</w:t>
            </w:r>
          </w:p>
        </w:tc>
        <w:tc>
          <w:tcPr>
            <w:tcW w:type="dxa" w:w="14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86,598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90.0%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3.5%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0.5%</w:t>
            </w:r>
          </w:p>
        </w:tc>
        <w:tc>
          <w:tcPr>
            <w:tcW w:type="dxa" w:w="15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11.3%</w:t>
            </w:r>
          </w:p>
        </w:tc>
      </w:tr>
      <w:tr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同SKU多件</w:t>
            </w:r>
          </w:p>
        </w:tc>
        <w:tc>
          <w:tcPr>
            <w:tcW w:type="dxa" w:w="14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6,417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6.7%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14.2%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11.8%</w:t>
            </w:r>
          </w:p>
        </w:tc>
        <w:tc>
          <w:tcPr>
            <w:tcW w:type="dxa" w:w="15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23.2%</w:t>
            </w:r>
          </w:p>
        </w:tc>
      </w:tr>
      <w:tr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单商家多SKU</w:t>
            </w:r>
          </w:p>
        </w:tc>
        <w:tc>
          <w:tcPr>
            <w:tcW w:type="dxa" w:w="14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1,916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2.0%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13.6%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11.3%</w:t>
            </w:r>
          </w:p>
        </w:tc>
        <w:tc>
          <w:tcPr>
            <w:tcW w:type="dxa" w:w="15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24.9%</w:t>
            </w:r>
          </w:p>
        </w:tc>
      </w:tr>
      <w:tr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多商家</w:t>
            </w:r>
          </w:p>
        </w:tc>
        <w:tc>
          <w:tcPr>
            <w:tcW w:type="dxa" w:w="14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1,272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1.3%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27.0%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24.4%</w:t>
            </w:r>
          </w:p>
        </w:tc>
        <w:tc>
          <w:tcPr>
            <w:tcW w:type="dxa" w:w="15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47.1%</w:t>
            </w:r>
          </w:p>
        </w:tc>
      </w:tr>
    </w:tbl>
    <w:p>
      <w:pPr>
        <w:spacing w:after="160"/>
      </w:pPr>
    </w:p>
    <w:p>
      <w:pPr>
        <w:spacing w:after="120" w:line="360"/>
      </w:pPr>
      <w:r>
        <w:rPr>
          <w:rFonts w:ascii="Arial" w:cs="Arial" w:eastAsia="Microsoft YaHei" w:hAnsi="Arial"/>
        </w:rPr>
        <w:t xml:space="preserve">多件订单只占签收单的 10.0%，却贡献了 33.6% 的品质客诉和 73.7% 的少件客诉；多件订单品质客诉率 15.8%，是单件订单（3.5%）的 4.6 倍，多商家订单最高（27.0%）。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进一步验证：99.8% 的多件订单少件投诉，提交时订单已显示签收。因此不是"没收齐就急着评价"，而是用户在签收状态下确实缺件——要么漏发，要么分包裹没有同步送达且未告知用户。两种情况都指向出库环节。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3.5 瓶颈②：少数高风险商家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247900"/>
            <wp:effectExtent t="0" r="0" b="0" l="0"/>
            <wp:docPr id="1" name="fig05_seller_tier.png" descr="图 6　商家风险分层（近 6 个月签收 ≥ 30 单的 299 家商家，覆盖 68% 订单）" title="图 6　商家风险分层（近 6 个月签收 ≥ 30 单的 299 家商家，覆盖 68% 订单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6　商家风险分层（近 6 个月签收 ≥ 30 单的 299 家商家，覆盖 68% 订单）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商家品质分 = 品质客诉率 50% + 差评率 20% + 发货超时率 15% + 延迟签收率 15%，各分项按参评商家的分位数打分。风险分层使用贝叶斯平滑后的客诉率：平滑客诉率 =（客诉单 + 50 × 平台客诉率）÷（签收单 + 50），避免"10 单 1 客诉 = 10%"的小样本商家被误判。不平滑时会圈出 302 家商家，平滑并加门槛后为 10 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1304"/>
        <w:gridCol w:w="1504"/>
        <w:gridCol w:w="1605"/>
        <w:gridCol w:w="1504"/>
        <w:gridCol w:w="1504"/>
      </w:tblGrid>
      <w:tr>
        <w:trPr>
          <w:tblHeader/>
        </w:trPr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风险等级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商家数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签收单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品质客诉单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品质客诉率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客诉占比</w:t>
            </w:r>
          </w:p>
        </w:tc>
      </w:tr>
      <w:tr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正常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246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22,080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908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4.1%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62.2%</w:t>
            </w:r>
          </w:p>
        </w:tc>
      </w:tr>
      <w:tr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需关注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43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4,002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369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9.2%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25.3%</w:t>
            </w:r>
          </w:p>
        </w:tc>
      </w:tr>
      <w:tr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高风险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10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976</w:t>
            </w:r>
          </w:p>
        </w:tc>
        <w:tc>
          <w:tcPr>
            <w:tcW w:type="dxa" w:w="16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182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18.6%</w:t>
            </w:r>
          </w:p>
        </w:tc>
        <w:tc>
          <w:tcPr>
            <w:tcW w:type="dxa" w:w="15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12.5%</w:t>
            </w:r>
          </w:p>
        </w:tc>
      </w:tr>
    </w:tbl>
    <w:p>
      <w:pPr>
        <w:spacing w:after="160"/>
      </w:pPr>
    </w:p>
    <w:p>
      <w:pPr>
        <w:spacing w:after="120" w:line="360"/>
      </w:pPr>
      <w:r>
        <w:rPr>
          <w:rFonts w:ascii="Arial" w:cs="Arial" w:eastAsia="Microsoft YaHei" w:hAnsi="Arial"/>
        </w:rPr>
        <w:t xml:space="preserve">10 家高风险商家占 3.6% 的签收单，贡献 12.5% 的品质客诉，平均品质客诉率 18.6%，是正常商家（4.1%）的 4.5 倍。按平滑客诉率从高到低排序，排在最前、合计占参评商家 10% 签收单的 24 家商家，贡献了 25.5% 的品质客诉。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名单可信吗？两项检验：① 统计显著性：平滑后圈出的 10 家高风险商家，Wilson 95% 置信区间下限全部高于平台客诉率；如果不平滑、按原始客诉率 ≥ 2 倍筛选，28 家参评商家中有 4 家并不显著，属于小样本噪声。② 预测力回测：用一个 6 个月窗口分层，看这些商家下一个 6 个月的表现。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162175"/>
            <wp:effectExtent t="0" r="0" b="0" l="0"/>
            <wp:docPr id="1" name="fig11_backtest.png" descr="图 7　商家风险分层回测：检验期品质客诉率 ÷ 平台（三个滚动窗口）" title="图 7　商家风险分层回测：检验期品质客诉率 ÷ 平台（三个滚动窗口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7　商家风险分层回测：检验期品质客诉率 ÷ 平台（三个滚动窗口）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三个窗口合计，被判为高风险的商家（11 家次）下一期品质客诉率平均仍是平台的 2.2 倍，需关注 1.5 倍，正常 0.9 倍，排序在每个窗口都成立；商家前后两期客诉率的秩相关为 0.38–0.52。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不平滑的规则圈出 83 家次，下一期只有平台的 1.65 倍：平滑用更少的名单换来了更高的命中。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均值回归：2 个窗口中高风险商家下一期客诉率明显回落（13.3% → 9.7%，15.3% → 10.0%）。评估整改效果必须设对照组，否则会把自然回落误判为整改成果。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3.6 瓶颈③：高风险品类与商品信息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fig06_category_scatter.png" descr="图 8　品类体量与品质客诉率（签收 ≥ 300 单的品类）" title="图 8　品类体量与品质客诉率（签收 ≥ 300 单的品类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8　品类体量与品质客诉率（签收 ≥ 300 单的品类）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办公家具品质客诉率 10.8%，是平台的 2.3 倍：少件 / 漏发 5.8%（缺螺丝、缺配件），质量缺陷 4.4%。单件订单中 ≥ 15kg 大件的品质客诉率为 6.3%，约为 1-5kg 商品（3.2%）的 2 倍。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假货投诉集中在电脑配件（66 单 / 万单）、钟表礼品（53 单 / 万单），平台平均 18 单 / 万单。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商品信息缺失（无品类、图片、描述）的单件订单，品质客诉率 5.4%、假货投诉率 1.38%，后者约为信息完整商品的 9 倍。图片张数本身（1 张 vs 4 张以上）与品质客诉率关系不大。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3.7 放到唯品会的品类结构下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Olist 以家居、3C、美妆为主，穿戴类（服饰鞋包、钟表礼品、童装）只占签收单的 9.2%；唯品会 2024 年穿戴类 GMV 占比约 75%（财报报道口径，见 data/external/）。因此把穿戴类单独拿出来看，并按唯品会的品类结构重新加权：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647950"/>
            <wp:effectExtent t="0" r="0" b="0" l="0"/>
            <wp:docPr id="1" name="fig09_wearables.png" descr="图 9　穿戴类 vs 非穿戴类：品质客诉率与假货投诉（2017 vs 2018 年 1-8 月）" title="图 9　穿戴类 vs 非穿戴类：品质客诉率与假货投诉（2017 vs 2018 年 1-8 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9　穿戴类 vs 非穿戴类：品质客诉率与假货投诉（2017 vs 2018 年 1-8 月）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穿戴类品质客诉率 3.7% → 5.1%（z = 3.01，p = 0.003），涨幅 +36%，高于非穿戴类（4.4% → 5.0%，+14%）。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穿戴类假货投诉从每万单 10 升到 54，主要来自钟表礼品；非穿戴类 13 → 19。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服饰类（男装、女装、鞋靴、内衣、运动服饰，共 513 单）货不对板率 4.5%（95% 置信区间 3.0%–6.6%），约为平台的 3 倍，尺码、颜色、材质与描述不符是服饰的主要品质问题。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按唯品会 75% 穿戴类的结构对 2018 年 1-8 月重新加权：整体品质客诉率变化不大（5.00% → 5.05%），但假货投诉从每万单 22 升到 45，少件 / 漏发从 1.90% 降到 1.48%。含义：唯品会场景下，正品管控和描述一致性的权重要高于 Olist，多件订单少件问题的权重较低。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外部参考：国家市场监管总局的产品质量抽查结果与上面的方向一致。以下数字取自监管公告的新闻转载，引用前应核对原文，出处见 data/external/README.md：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"/>
        <w:gridCol w:w="1905"/>
        <w:gridCol w:w="1705"/>
        <w:gridCol w:w="1304"/>
        <w:gridCol w:w="1003"/>
        <w:gridCol w:w="2407"/>
      </w:tblGrid>
      <w:tr>
        <w:trPr>
          <w:tblHeader/>
        </w:trP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年份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抽查范围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产品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批次 / 不合格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不合格率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要点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2023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全年国家监督抽查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143种产品合计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28,265 / 3,476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12.3%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生产领域16021批次不合格率6.7%；流通领域12244批次不合格率19.6%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2023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全年国家监督抽查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按企业规模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大型企业0.8%；中型企业2.2%；小型企业13.2%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2023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全年国家监督抽查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家用电器（26种）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20.7%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2023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电商平台（15家）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羽绒服装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185 / 26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14.1%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19批次纤维含量不合格；6批次含绒量不合格；1批次涉嫌假冒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2023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电商平台（18家）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玩具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224 / 14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6.3%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不合格项均为安全项目（塑料袋/薄膜、小零件、增塑剂）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2023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电商平台（14家）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学生书包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86 / 25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29.1%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702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2022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网售产品（20家电商平台，含唯品会）</w:t>
            </w:r>
          </w:p>
        </w:tc>
        <w:tc>
          <w:tcPr>
            <w:tcW w:type="dxa" w:w="17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羽绒服装、儿童及婴幼儿服装等19种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2,204 / 373</w:t>
            </w:r>
          </w:p>
        </w:tc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16.9%</w:t>
            </w:r>
          </w:p>
        </w:tc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不合格批次中71.6%涉及安全项目</w:t>
            </w:r>
          </w:p>
        </w:tc>
      </w:tr>
    </w:tbl>
    <w:p>
      <w:pPr>
        <w:spacing w:after="160"/>
      </w:pPr>
    </w:p>
    <w:p>
      <w:pPr>
        <w:spacing w:after="120" w:line="360"/>
      </w:pPr>
      <w:r>
        <w:rPr>
          <w:rFonts w:ascii="Arial" w:cs="Arial" w:eastAsia="Microsoft YaHei" w:hAnsi="Arial"/>
        </w:rPr>
        <w:t xml:space="preserve">对品控的启示：① 电商渠道羽绒服不合格的主因是纤维含量、含绒量与标称不符，和本项目"货不对板"的上升方向一致，服饰类入仓质检应把成分 / 标签一致性列为必检项；② 小型企业不合格率（13.2%）约为大型企业（0.8%）的 16 倍，流通领域（19.6%）高于生产领域（6.7%），支持按供应商规模和历史表现做分层抽检（见 5.3）。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4. 被证伪或证据不足的假设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1103"/>
        <w:gridCol w:w="3209"/>
        <w:gridCol w:w="2608"/>
      </w:tblGrid>
      <w:tr>
        <w:trPr>
          <w:tblHeader/>
        </w:trPr>
        <w:tc>
          <w:tcPr>
            <w:tcW w:type="dxa" w:w="21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假设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结论</w:t>
            </w:r>
          </w:p>
        </w:tc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证据</w:t>
            </w:r>
          </w:p>
        </w:tc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对决策的含义</w:t>
            </w:r>
          </w:p>
        </w:tc>
      </w:tr>
      <w:tr>
        <w:tc>
          <w:tcPr>
            <w:tcW w:type="dxa" w:w="21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新入驻商家品质更差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不成立</w:t>
            </w:r>
          </w:p>
        </w:tc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入驻 &lt; 3 个月 4.9%，12 个月以上 5.4%</w:t>
            </w:r>
          </w:p>
        </w:tc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治理重点放在存量商家的持续监控</w:t>
            </w:r>
          </w:p>
        </w:tc>
      </w:tr>
      <w:tr>
        <w:tc>
          <w:tcPr>
            <w:tcW w:type="dxa" w:w="21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送晚了导致更多损坏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不成立</w:t>
            </w:r>
          </w:p>
        </w:tc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延迟签收订单品质客诉率 3.0%，准时订单 4.8%；包装破损率几乎相同</w:t>
            </w:r>
          </w:p>
        </w:tc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物流时效与品质问题分开治理</w:t>
            </w:r>
          </w:p>
        </w:tc>
      </w:tr>
      <w:tr>
        <w:tc>
          <w:tcPr>
            <w:tcW w:type="dxa" w:w="21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首单品质问题导致流失</w:t>
            </w:r>
          </w:p>
        </w:tc>
        <w:tc>
          <w:tcPr>
            <w:tcW w:type="dxa" w:w="11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证据不足</w:t>
            </w:r>
          </w:p>
        </w:tc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首单品质客诉用户复购率 3.9%，首单 5 星 4.3%，平台整体复购约 4%</w:t>
            </w:r>
          </w:p>
        </w:tc>
        <w:tc>
          <w:tcPr>
            <w:tcW w:type="dxa" w:w="2608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需唯品会会员与复购数据验证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Microsoft YaHei" w:hAnsi="Arial"/>
        </w:rPr>
        <w:t xml:space="preserve">5. 建议与治理测算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495550"/>
            <wp:effectExtent t="0" r="0" b="0" l="0"/>
            <wp:docPr id="1" name="fig07_sizing_waterfall.png" descr="图 10　三项举措的品质客诉率治理测算" title="图 10　三项举措的品质客诉率治理测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10　三项举措的品质客诉率治理测算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测算以 2018 年 1-8 月的 52,777 个签收订单为基线（品质客诉率 5.00%）。每个品质客诉单按其命中的举措计算"被避免的概率"，多项举措叠加时 p = 1 − Π(1 − pᵢ)，避免重复计算。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304"/>
        <w:gridCol w:w="2307"/>
        <w:gridCol w:w="1203"/>
        <w:gridCol w:w="1805"/>
      </w:tblGrid>
      <w:tr>
        <w:trPr>
          <w:tblHeader/>
        </w:trPr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举措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负责方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测算假设</w:t>
            </w:r>
          </w:p>
        </w:tc>
        <w:tc>
          <w:tcPr>
            <w:tcW w:type="dxa" w:w="12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预计降幅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跟踪指标</w:t>
            </w:r>
          </w:p>
        </w:tc>
      </w:tr>
      <w:tr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A 多件订单出库复核 + 分包裹提醒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仓配 / 商家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多件订单少件客诉 −50%</w:t>
            </w:r>
          </w:p>
        </w:tc>
        <w:tc>
          <w:tcPr>
            <w:tcW w:type="dxa" w:w="12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−0.72pp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多件订单少件率</w:t>
            </w:r>
          </w:p>
        </w:tc>
      </w:tr>
      <w:tr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B 高风险 / 需关注商家整改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商家管理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该类商家品质客诉 −30%</w:t>
            </w:r>
          </w:p>
        </w:tc>
        <w:tc>
          <w:tcPr>
            <w:tcW w:type="dxa" w:w="12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−0.31pp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高风险商家数、整改闭环率</w:t>
            </w:r>
          </w:p>
        </w:tc>
      </w:tr>
      <w:tr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C 3C 数码 / 钟表礼品正品与描述专项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品控 + 类目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两类目假货、货不对板客诉 −30%</w:t>
            </w:r>
          </w:p>
        </w:tc>
        <w:tc>
          <w:tcPr>
            <w:tcW w:type="dxa" w:w="12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−0.15pp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假货投诉率（每万单）</w:t>
            </w:r>
          </w:p>
        </w:tc>
      </w:tr>
      <w:tr>
        <w:tc>
          <w:tcPr>
            <w:tcW w:type="dxa" w:w="24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E4F0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17232B"/>
                <w:sz w:val="19"/>
                <w:szCs w:val="19"/>
              </w:rPr>
              <w:t xml:space="preserve">合计</w:t>
            </w:r>
          </w:p>
        </w:tc>
        <w:tc>
          <w:tcPr>
            <w:tcW w:type="dxa" w:w="1304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E4F0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17232B"/>
                <w:sz w:val="19"/>
                <w:szCs w:val="19"/>
              </w:rPr>
              <w:t xml:space="preserve"/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E4F0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17232B"/>
                <w:sz w:val="19"/>
                <w:szCs w:val="19"/>
              </w:rPr>
              <w:t xml:space="preserve"/>
            </w:r>
          </w:p>
        </w:tc>
        <w:tc>
          <w:tcPr>
            <w:tcW w:type="dxa" w:w="12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E4F0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17232B"/>
                <w:sz w:val="19"/>
                <w:szCs w:val="19"/>
              </w:rPr>
              <w:t xml:space="preserve">5.00% → 3.82%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E4F0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17232B"/>
                <w:sz w:val="19"/>
                <w:szCs w:val="19"/>
              </w:rPr>
              <w:t xml:space="preserve">品质客诉率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Microsoft YaHei" w:hAnsi="Arial"/>
        </w:rPr>
        <w:t xml:space="preserve">5.1 情景与敏感性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上表中的降幅是假设参数，因此给出三档情景，并逐个变动参数看影响（其余参数取中性值）：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2006"/>
        <w:gridCol w:w="1905"/>
        <w:gridCol w:w="2307"/>
        <w:gridCol w:w="1805"/>
      </w:tblGrid>
      <w:tr>
        <w:trPr>
          <w:tblHeader/>
        </w:trPr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情景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A 多件订单少件客诉降幅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B 风险商家客诉降幅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C 3C / 钟表假货与货不对板降幅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治理后品质客诉率</w:t>
            </w:r>
          </w:p>
        </w:tc>
      </w:tr>
      <w:tr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悲观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30%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15%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15%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4.32%</w:t>
            </w:r>
          </w:p>
        </w:tc>
      </w:tr>
      <w:tr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中性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50%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30%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30%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3.82%</w:t>
            </w:r>
          </w:p>
        </w:tc>
      </w:tr>
      <w:tr>
        <w:tc>
          <w:tcPr>
            <w:tcW w:type="dxa" w:w="1003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乐观</w:t>
            </w:r>
          </w:p>
        </w:tc>
        <w:tc>
          <w:tcPr>
            <w:tcW w:type="dxa" w:w="2006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70%</w:t>
            </w:r>
          </w:p>
        </w:tc>
        <w:tc>
          <w:tcPr>
            <w:tcW w:type="dxa" w:w="19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45%</w:t>
            </w:r>
          </w:p>
        </w:tc>
        <w:tc>
          <w:tcPr>
            <w:tcW w:type="dxa" w:w="230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45%</w:t>
            </w:r>
          </w:p>
        </w:tc>
        <w:tc>
          <w:tcPr>
            <w:tcW w:type="dxa" w:w="1805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3.34%</w:t>
            </w:r>
          </w:p>
        </w:tc>
      </w:tr>
    </w:tbl>
    <w:p>
      <w:pPr>
        <w:spacing w:after="16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2124075"/>
            <wp:effectExtent t="0" r="0" b="0" l="0"/>
            <wp:docPr id="1" name="fig12_scenarios.png" descr="图 11　三档情景与单因素敏感性（龙卷风图）" title="图 11　三档情景与单因素敏感性（龙卷风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11　三档情景与单因素敏感性（龙卷风图）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即使悲观情景也能降到 4.32%，中性情景 3.82% 达到 4.0% 目标。A 的假设影响最大（区间宽 0.54pp），上线后应最先用试点验证多件订单复核的真实效果。测算基于规则打标口径；如果漏标在各类订单中分布相近，按校正系数换算后，降幅比例基本不变。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5.2 举措说明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A：多件订单出库前称重或逐件扫码复核；必须分包裹时，在订单页和消息里告知"您的订单分 N 个包裹发出"；评价邀请延后到全部包裹签收之后。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B：高风险商家 30 天整改期（下架问题商品、补充商品信息、发货复核），复评仍为高风险则限流；需关注商家周度跟踪。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C：3C / 钟表类目入驻时核验品牌授权；对高假货投诉商品抽检；商品详情页必须包含型号、规格、实拍图，缺失即不予上架（商品信息完整率 100% 作为准入卡口）。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5.3 差异化抽检：质检资源按风险分配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举措 A、B、C 都需要质检 / 复核资源，关键是把有限的资源先投到风险最高的订单上。用 2017-09 ~ 2018-02 的数据给商家和"商家 × 品类"打风险分，在 2018-03 ~ 2018-08 的 39,153 个签收订单上做样本外检验：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705100"/>
            <wp:effectExtent t="0" r="0" b="0" l="0"/>
            <wp:docPr id="1" name="fig10_sampling_gain.png" descr="图 12　增益曲线：按风险分从高到低抽检 X% 的订单，能覆盖多少问题订单（样本外）" title="图 12　增益曲线：按风险分从高到低抽检 X% 的订单，能覆盖多少问题订单（样本外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color w:val="5E6B72"/>
          <w:sz w:val="18"/>
          <w:szCs w:val="18"/>
        </w:rPr>
        <w:t xml:space="preserve">图 12　增益曲线：按风险分从高到低抽检 X% 的订单，能覆盖多少问题订单（样本外）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出库复核：只复核多件订单（占 10%），就能覆盖 75% 的少件 / 漏发问题订单，少件问题几乎被订单结构锁定。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入仓抽检：抽 10% 时，按"商家 × 品类"风险分能覆盖 15.8% 的缺陷 / 货不对板 / 假货订单，随机抽检只有 10.3%，是随机的 1.54 倍；抽 20% 时为 30% vs 20%。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提升有限，是因为公开数据只有商家和品类两个维度。实际场景可以加入供应商历史质检结果、品牌授权、商品信息完整度、SKU 退货率等特征。外部抽检数据中小型企业与大型企业的不合格率相差约 16 倍，说明供应商维度的区分度很高。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5.4 效果评估方法</w:t>
      </w:r>
    </w:p>
    <w:p>
      <w:pPr>
        <w:spacing w:after="120" w:line="360"/>
      </w:pPr>
      <w:r>
        <w:rPr>
          <w:rFonts w:ascii="Arial" w:cs="Arial" w:eastAsia="Microsoft YaHei" w:hAnsi="Arial"/>
        </w:rPr>
        <w:t xml:space="preserve">举措 A、C 建议先在部分商家 / 仓库试点，与条件相近的对照组比较，用双重差分（试点前后变化 − 对照组前后变化）评估效果，观察 8 周；护栏指标为平均出库时长和发货超时率，防止复核拖慢发货。举措 B 要注意均值回归：被选为高风险的商家即使不干预，下期客诉率也可能回落，因此同样需要对照组。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6. 局限与下一步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评价不等于客诉工单：随机 200 条盲评显示规则准确率 97%、召回率 75%，品质客诉率绝对值被低估约 1/4（两年召回率相近，趋势结论不受影响）。打标判定由大模型完成，已附中文释义供人工抽查。接入客服工单与退货原因后可以交叉验证并替换。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缺少入仓质检、抽检数据：已在指标字典中定义入仓质检合格率、问题商品拦截率、品质退货率等过程指标，接入后可以把结果指标和过程指标连起来。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巴西市场与唯品会的品类结构、履约模式不同：方法可以迁移，目标值（4.0%）、平滑参数（m = 50）、风险阈值需要用唯品会数据重新估计。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最近月份存在右删失：评价和签收仍在回收，最后 1-2 个月的指标偏乐观，看板和周报中需标注。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Arial" w:cs="Arial" w:eastAsia="Microsoft YaHei" w:hAnsi="Arial"/>
        </w:rPr>
        <w:t xml:space="preserve">外部参考数据（监管抽检结果、唯品会品类结构）取自新闻转载与财报报道，数字引用前应核对原文。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附录：项目文件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9"/>
        <w:gridCol w:w="5817"/>
      </w:tblGrid>
      <w:tr>
        <w:trPr>
          <w:tblHeader/>
        </w:trP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0E6E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位置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指标体系与指标字典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docs/02_指标体系.md、docs/品控指标字典.xlsx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交互看板与 BI 搭建指南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dashboard/index.html、docs/04_BI看板设计与搭建指南.md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SQL 面试题库（19 题）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docs/05_SQL面试题库.md、sql/interview/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数仓 SQL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sql/01_ods_ddl.sql ~ sql/06_ads.sql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分析明细表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outputs/analysis_tables.xlsx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数据质量报告、打标复核样本、金标准集（含中文释义）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outputs/qa/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进阶分析：控制图、显著性检验、回测、情景测算、差异化抽检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scripts/13_advanced_analysis.py、outputs/advanced_tables.xlsx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商家品质月报模板（Excel 公式 + 透视表）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docs/商家品质月报模板.xlsx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Tableau Public 搭建清单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docs/07_Tableau_Public搭建清单.md</w:t>
            </w:r>
          </w:p>
        </w:tc>
      </w:tr>
      <w:tr>
        <w:tc>
          <w:tcPr>
            <w:tcW w:type="dxa" w:w="3209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外部参考数据（监管抽检、唯品会品类结构）</w:t>
            </w:r>
          </w:p>
        </w:tc>
        <w:tc>
          <w:tcPr>
            <w:tcW w:type="dxa" w:w="5817"/>
            <w:tcBorders>
              <w:top w:val="single" w:color="D5DADB" w:sz="4"/>
              <w:left w:val="single" w:color="D5DADB" w:sz="4"/>
              <w:bottom w:val="single" w:color="D5DADB" w:sz="4"/>
              <w:right w:val="single" w:color="D5D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YaHei" w:hAnsi="Arial"/>
                <w:b w:val="false"/>
                <w:bCs w:val="false"/>
                <w:color w:val="17232B"/>
                <w:sz w:val="19"/>
                <w:szCs w:val="19"/>
              </w:rPr>
              <w:t xml:space="preserve">data/external/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5E6B72"/>
        <w:sz w:val="16"/>
        <w:szCs w:val="16"/>
      </w:rPr>
      <w:t xml:space="preserve">电商品控专题分析报告　</w:t>
    </w:r>
    <w:r>
      <w:rPr>
        <w:rFonts w:ascii="Arial" w:cs="Arial" w:eastAsia="Microsoft YaHei" w:hAnsi="Arial"/>
        <w:color w:val="5E6B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E6E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color w:val="1723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Microsoft YaHei" w:hAnsi="Arial"/>
      <w:b/>
      <w:bCs/>
      <w:color w:val="0E6E6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Microsoft YaHei" w:hAnsi="Arial"/>
      <w:b/>
      <w:bCs/>
      <w:color w:val="17232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d04293c000801336fac4a6829158997379d0598.png"/><Relationship Id="rId9" Type="http://schemas.openxmlformats.org/officeDocument/2006/relationships/image" Target="media/d00e96621dc54824f0c090d9a2e7e0f0a375b0c9.png"/><Relationship Id="rId10" Type="http://schemas.openxmlformats.org/officeDocument/2006/relationships/image" Target="media/15454365a138f3c521fcf25f5905b4f14591b038.png"/><Relationship Id="rId11" Type="http://schemas.openxmlformats.org/officeDocument/2006/relationships/image" Target="media/1273d83b052add31962d0927baf69cd1df092f93.png"/><Relationship Id="rId12" Type="http://schemas.openxmlformats.org/officeDocument/2006/relationships/image" Target="media/444260afdbe8ddda58d2b1ba9b1a41d3de156d26.png"/><Relationship Id="rId13" Type="http://schemas.openxmlformats.org/officeDocument/2006/relationships/image" Target="media/a775842aba1b39020359dc50415df5a25ab95d6b.png"/><Relationship Id="rId14" Type="http://schemas.openxmlformats.org/officeDocument/2006/relationships/image" Target="media/968a6aa40c40318ab3ae32ff584a6e043e82d56e.png"/><Relationship Id="rId15" Type="http://schemas.openxmlformats.org/officeDocument/2006/relationships/image" Target="media/e085d6f1c33be7ab7a68be70a69d2c01ae1fd52a.png"/><Relationship Id="rId16" Type="http://schemas.openxmlformats.org/officeDocument/2006/relationships/image" Target="media/a55794dd20a18420f8b398b02472c73de534fff4.png"/><Relationship Id="rId17" Type="http://schemas.openxmlformats.org/officeDocument/2006/relationships/image" Target="media/a1a3052ea15cac2aada3a5f49d8e02fc8e97cac9.png"/><Relationship Id="rId18" Type="http://schemas.openxmlformats.org/officeDocument/2006/relationships/image" Target="media/ae96f7791afdafbbffbe2f3afa8c2074be30619f.png"/><Relationship Id="rId19" Type="http://schemas.openxmlformats.org/officeDocument/2006/relationships/image" Target="media/ff028de30718a3a1d2be0cc85711a3af3ca4cbc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差评在降，品质客诉在升</dc:title>
  <dc:creator>品控数据分析项目</dc:creator>
  <cp:lastModifiedBy>Un-named</cp:lastModifiedBy>
  <cp:revision>1</cp:revision>
  <dcterms:created xsi:type="dcterms:W3CDTF">2026-09-26T15:59:02.432Z</dcterms:created>
  <dcterms:modified xsi:type="dcterms:W3CDTF">2026-09-26T15:59:02.432Z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