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Arial" w:cs="Arial" w:eastAsia="Microsoft YaHei" w:hAnsi="Arial"/>
          <w:b/>
          <w:bCs/>
          <w:color w:val="161418"/>
          <w:sz w:val="48"/>
          <w:szCs w:val="48"/>
        </w:rPr>
        <w:t xml:space="preserve">差评率在下降，品质客诉率在上升</w:t>
      </w:r>
    </w:p>
    <w:p>
      <w:pPr>
        <w:spacing w:after="300"/>
      </w:pPr>
      <w:r>
        <w:rPr>
          <w:rFonts w:ascii="Arial" w:cs="Arial" w:eastAsia="Microsoft YaHei" w:hAnsi="Arial"/>
          <w:color w:val="E1006C"/>
          <w:sz w:val="26"/>
          <w:szCs w:val="26"/>
        </w:rPr>
        <w:t xml:space="preserve">电商品控专题分析报告：品质问题在哪里、为什么、怎么治理</w:t>
      </w:r>
    </w:p>
    <w:p>
      <w:pPr>
        <w:spacing w:after="60"/>
      </w:pPr>
      <w:r>
        <w:rPr>
          <w:rFonts w:ascii="Arial" w:cs="Arial" w:eastAsia="Microsoft YaHei" w:hAnsi="Arial"/>
          <w:b/>
          <w:bCs/>
          <w:color w:val="6E6872"/>
          <w:sz w:val="19"/>
          <w:szCs w:val="19"/>
        </w:rPr>
        <w:t xml:space="preserve">数据：</w:t>
      </w:r>
      <w:r>
        <w:rPr>
          <w:rFonts w:ascii="Arial" w:cs="Arial" w:eastAsia="Microsoft YaHei" w:hAnsi="Arial"/>
          <w:color w:val="6E6872"/>
          <w:sz w:val="19"/>
          <w:szCs w:val="19"/>
        </w:rPr>
        <w:t xml:space="preserve">Olist Brazilian E-Commerce Public Dataset（巴西电商平台公开的脱敏真实订单）</w:t>
      </w:r>
    </w:p>
    <w:p>
      <w:pPr>
        <w:spacing w:after="60"/>
      </w:pPr>
      <w:r>
        <w:rPr>
          <w:rFonts w:ascii="Arial" w:cs="Arial" w:eastAsia="Microsoft YaHei" w:hAnsi="Arial"/>
          <w:b/>
          <w:bCs/>
          <w:color w:val="6E6872"/>
          <w:sz w:val="19"/>
          <w:szCs w:val="19"/>
        </w:rPr>
        <w:t xml:space="preserve">分析范围：</w:t>
      </w:r>
      <w:r>
        <w:rPr>
          <w:rFonts w:ascii="Arial" w:cs="Arial" w:eastAsia="Microsoft YaHei" w:hAnsi="Arial"/>
          <w:color w:val="6E6872"/>
          <w:sz w:val="19"/>
          <w:szCs w:val="19"/>
        </w:rPr>
        <w:t xml:space="preserve">下单月 2017-01 至 2018-08，签收订单 96,203 个</w:t>
      </w:r>
    </w:p>
    <w:p>
      <w:pPr>
        <w:spacing w:after="60"/>
      </w:pPr>
      <w:r>
        <w:rPr>
          <w:rFonts w:ascii="Arial" w:cs="Arial" w:eastAsia="Microsoft YaHei" w:hAnsi="Arial"/>
          <w:b/>
          <w:bCs/>
          <w:color w:val="6E6872"/>
          <w:sz w:val="19"/>
          <w:szCs w:val="19"/>
        </w:rPr>
        <w:t xml:space="preserve">术语与口径：</w:t>
      </w:r>
      <w:r>
        <w:rPr>
          <w:rFonts w:ascii="Arial" w:cs="Arial" w:eastAsia="Microsoft YaHei" w:hAnsi="Arial"/>
          <w:color w:val="6E6872"/>
          <w:sz w:val="19"/>
          <w:szCs w:val="19"/>
        </w:rPr>
        <w:t xml:space="preserve">docs/00_术语与口径.md；指标字典 v1.0（docs/品控指标字典.xlsx）</w:t>
      </w:r>
    </w:p>
    <w:p>
      <w:pPr>
        <w:spacing w:after="60"/>
      </w:pPr>
      <w:r>
        <w:rPr>
          <w:rFonts w:ascii="Arial" w:cs="Arial" w:eastAsia="Microsoft YaHei" w:hAnsi="Arial"/>
          <w:b/>
          <w:bCs/>
          <w:color w:val="6E6872"/>
          <w:sz w:val="19"/>
          <w:szCs w:val="19"/>
        </w:rPr>
        <w:t xml:space="preserve">复现：</w:t>
      </w:r>
      <w:r>
        <w:rPr>
          <w:rFonts w:ascii="Arial" w:cs="Arial" w:eastAsia="Microsoft YaHei" w:hAnsi="Arial"/>
          <w:color w:val="6E6872"/>
          <w:sz w:val="19"/>
          <w:szCs w:val="19"/>
        </w:rPr>
        <w:t xml:space="preserve">python scripts/run_pipeline.py（MySQL 8.0）</w:t>
      </w:r>
    </w:p>
    <w:p>
      <w:pPr>
        <w:pBdr>
          <w:bottom w:val="single" w:color="E9E6EA" w:sz="6" w:space="8"/>
        </w:pBdr>
        <w:spacing w:after="240"/>
      </w:pPr>
    </w:p>
    <w:p>
      <w:pPr>
        <w:pStyle w:val="Heading1"/>
      </w:pPr>
      <w:r>
        <w:rPr>
          <w:rFonts w:ascii="Arial" w:cs="Arial" w:eastAsia="Microsoft YaHei" w:hAnsi="Arial"/>
        </w:rPr>
        <w:t xml:space="preserve">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6F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40" w:line="340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结论：差评率在下降，品质客诉率在上升，而且是持续偏移。品质客诉率从 2017 年的 4.31% 升到 2018 年 1-8 月的 5.00%（z = 5.05，p &lt; 0.0001），控制图上 2017-10 至 2018-08 连续 11 个月高于中心线；差评率随准时签收率变化，下单月 2018-03 准时签收率 81.0%、差评率 22.8%。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40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原因：上升来自组内效应（+0.74pp），结构效应只有 −0.01pp；差评品质原因占比从 2017Q1 的 21.9% 升到 2018Q3 的 35.2%。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40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问题：集中在三处。多件订单占签收订单 10.0%，贡献 33.6% 的品质客诉订单；10 家高风险商家贡献 12.5% 的商家品质客诉订单；假货集中在电脑配件（66.2 单/万单）和钟表礼品（53.0 单/万单）。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40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举措：多件订单出库复核、高风险商家和需关注商家整改、一级类目 3C数码、钟表与潮流好物的正品与商品描述专项，中性情景下把品质客诉率从 5.00% 降到 3.82%（悲观 4.32%，乐观 3.34%）。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340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可信度：18 项数据校验全部通过；标注样本 200 条，标签精确率 97.4%、标签召回率 74.5%，2017 年与 2018 年标签召回率相近，上升趋势不会被高估。</w:t>
            </w:r>
          </w:p>
        </w:tc>
      </w:tr>
    </w:tbl>
    <w:p>
      <w:pPr>
        <w:spacing w:after="120" w:line="360"/>
      </w:pPr>
      <w:r>
        <w:rPr>
          <w:rFonts w:ascii="Arial" w:cs="Arial" w:eastAsia="Microsoft YaHei" w:hAnsi="Arial"/>
        </w:rPr>
        <w:t xml:space="preserve"/>
      </w:r>
    </w:p>
    <w:p>
      <w:pPr>
        <w:pStyle w:val="Heading1"/>
      </w:pPr>
      <w:r>
        <w:rPr>
          <w:rFonts w:ascii="Arial" w:cs="Arial" w:eastAsia="Microsoft YaHei" w:hAnsi="Arial"/>
        </w:rPr>
        <w:t xml:space="preserve">1. 背景与问题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2018 年差评率从 3 月的高点快速回落，直觉上会认为用户体验在改善。但差评由多种原因混合而成：没收到货、送得慢、服务差、商品本身有问题。品控关心的是其中"商品本身有问题"的部分是否也在改善。本报告回答四个问题：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差评率下降，是否代表商品品质在改善？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如果品质问题在上升，是结构效应（卖了更多高品质客诉率的类目），还是组内效应（同一类目自身变差）？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品质问题集中在哪里：哪个标签、哪类订单、哪些商家、哪些品类？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哪些举措可以落地，能把品质客诉率降到多少？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2. 数据与口径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2.1 数据来源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使用 Olist 公开的巴西电商平台真实订单数据：99,441 个订单、112,650 个商品行、99,224 条评价（每个订单只取最后一次评价后为 98,673 条）、3,095 家商家、32,951 个商品、73 个品类。2016 年和 2018-09 以后的订单很少，分析范围取下单月 2017-01 至 2018-08。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3410"/>
        <w:gridCol w:w="3008"/>
      </w:tblGrid>
      <w:tr>
        <w:trPr>
          <w:tblHeader/>
        </w:trPr>
        <w:tc>
          <w:tcPr>
            <w:tcW w:type="dxa" w:w="26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品控环节</w:t>
            </w:r>
          </w:p>
        </w:tc>
        <w:tc>
          <w:tcPr>
            <w:tcW w:type="dxa" w:w="3410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本项目数据</w:t>
            </w:r>
          </w:p>
        </w:tc>
        <w:tc>
          <w:tcPr>
            <w:tcW w:type="dxa" w:w="30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供应商 / 品牌方</w:t>
            </w:r>
          </w:p>
        </w:tc>
        <w:tc>
          <w:tcPr>
            <w:tcW w:type="dxa" w:w="3410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Olist 商家（seller）</w:t>
            </w:r>
          </w:p>
        </w:tc>
        <w:tc>
          <w:tcPr>
            <w:tcW w:type="dxa" w:w="30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直接对应</w:t>
            </w:r>
          </w:p>
        </w:tc>
      </w:tr>
      <w:tr>
        <w:tc>
          <w:tcPr>
            <w:tcW w:type="dxa" w:w="26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客诉记录</w:t>
            </w:r>
          </w:p>
        </w:tc>
        <w:tc>
          <w:tcPr>
            <w:tcW w:type="dxa" w:w="3410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最后一次评价的星级 + 葡语评价文字</w:t>
            </w:r>
          </w:p>
        </w:tc>
        <w:tc>
          <w:tcPr>
            <w:tcW w:type="dxa" w:w="30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用关键词规则识别标签</w:t>
            </w:r>
          </w:p>
        </w:tc>
      </w:tr>
      <w:tr>
        <w:tc>
          <w:tcPr>
            <w:tcW w:type="dxa" w:w="26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发货时效</w:t>
            </w:r>
          </w:p>
        </w:tc>
        <w:tc>
          <w:tcPr>
            <w:tcW w:type="dxa" w:w="3410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平台规定发货时限（shipping_limit_date）</w:t>
            </w:r>
          </w:p>
        </w:tc>
        <w:tc>
          <w:tcPr>
            <w:tcW w:type="dxa" w:w="30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直接对应</w:t>
            </w:r>
          </w:p>
        </w:tc>
      </w:tr>
      <w:tr>
        <w:tc>
          <w:tcPr>
            <w:tcW w:type="dxa" w:w="26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商品详情质量</w:t>
            </w:r>
          </w:p>
        </w:tc>
        <w:tc>
          <w:tcPr>
            <w:tcW w:type="dxa" w:w="3410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品类、图片数、描述字数</w:t>
            </w:r>
          </w:p>
        </w:tc>
        <w:tc>
          <w:tcPr>
            <w:tcW w:type="dxa" w:w="30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对应动销商品信息完整率</w:t>
            </w:r>
          </w:p>
        </w:tc>
      </w:tr>
      <w:tr>
        <w:tc>
          <w:tcPr>
            <w:tcW w:type="dxa" w:w="26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入仓质检 / 退货原因</w:t>
            </w:r>
          </w:p>
        </w:tc>
        <w:tc>
          <w:tcPr>
            <w:tcW w:type="dxa" w:w="3410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无</w:t>
            </w:r>
          </w:p>
        </w:tc>
        <w:tc>
          <w:tcPr>
            <w:tcW w:type="dxa" w:w="30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口径已定义，待接入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Microsoft YaHei" w:hAnsi="Arial"/>
        </w:rPr>
        <w:t xml:space="preserve">2.2 核心概念：品质客诉率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品质客诉率 = 品质客诉订单数 ÷ 签收订单数；分子、分母按同一下单月归属，保证是同一批订单。品质客诉订单要同时满足三个条件：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是签收订单：订单状态为"已签收"（delivered）且签收时间不为空；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最后一次评价为 1-3 星：同一订单有多条评价时，只使用提交时间最晚的一条；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最后一次评价的文字命中至少一个品质问题标签：假货、质量缺陷、货不对板、少件漏发、包装破损。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一个订单可以同时命中多个标签，所以 5 个结果指标（命中该标签的品质客诉订单数 ÷ 签收订单数）之和大于品质客诉率。需要互斥的结构占比时使用主标签：按"假货 &gt; 质量缺陷 &gt; 货不对板 &gt; 少件漏发 &gt; 包装破损 &gt; 未收到货 &gt; 物流延迟 &gt; 服务售后"的优先级取一个标签。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2.3 标签识别规则与标注样本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公开数据没有客诉记录，本项目用葡语关键词规则从评价文字中识别 8 个标签（5 个品质问题标签、3 个履约服务标签）。规则先做小写与去重音处理，并剔除"sem defeito（没有瑕疵）"这类否定表述。规则迭代期（v0.4）按规则结果分层抽取 140 条评价逐条复核，据判错的样本修正了 8 条规则；定版（v1.0）后用标注样本评估：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标注样本从 12,780 条"签收订单、最后一次评价 1-3 星、有文字"的评价中随机抽取 200 条，由大模型逐条阅读葡语原文给出真实标签（判定时不看规则结果），每条附中文释义，明细在 outputs/qa/tag_gold_set.csv，可逐条人工抽查。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2006"/>
        <w:gridCol w:w="2005"/>
      </w:tblGrid>
      <w:tr>
        <w:trPr>
          <w:tblHeader/>
        </w:trPr>
        <w:tc>
          <w:tcPr>
            <w:tcW w:type="dxa" w:w="30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品质问题标签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标注样本中的条数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标签精确率</w:t>
            </w:r>
          </w:p>
        </w:tc>
        <w:tc>
          <w:tcPr>
            <w:tcW w:type="dxa" w:w="20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标签召回率</w:t>
            </w:r>
          </w:p>
        </w:tc>
      </w:tr>
      <w:tr>
        <w:tc>
          <w:tcPr>
            <w:tcW w:type="dxa" w:w="30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假货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5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100.0%</w:t>
            </w:r>
          </w:p>
        </w:tc>
        <w:tc>
          <w:tcPr>
            <w:tcW w:type="dxa" w:w="20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40.0%</w:t>
            </w:r>
          </w:p>
        </w:tc>
      </w:tr>
      <w:tr>
        <w:tc>
          <w:tcPr>
            <w:tcW w:type="dxa" w:w="30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质量缺陷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30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92.9%</w:t>
            </w:r>
          </w:p>
        </w:tc>
        <w:tc>
          <w:tcPr>
            <w:tcW w:type="dxa" w:w="20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86.7%</w:t>
            </w:r>
          </w:p>
        </w:tc>
      </w:tr>
      <w:tr>
        <w:tc>
          <w:tcPr>
            <w:tcW w:type="dxa" w:w="30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货不对板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34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82.6%</w:t>
            </w:r>
          </w:p>
        </w:tc>
        <w:tc>
          <w:tcPr>
            <w:tcW w:type="dxa" w:w="20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55.9%</w:t>
            </w:r>
          </w:p>
        </w:tc>
      </w:tr>
      <w:tr>
        <w:tc>
          <w:tcPr>
            <w:tcW w:type="dxa" w:w="30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少件漏发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39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96.5%</w:t>
            </w:r>
          </w:p>
        </w:tc>
        <w:tc>
          <w:tcPr>
            <w:tcW w:type="dxa" w:w="20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71.8%</w:t>
            </w:r>
          </w:p>
        </w:tc>
      </w:tr>
      <w:tr>
        <w:tc>
          <w:tcPr>
            <w:tcW w:type="dxa" w:w="30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包装破损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5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100.0%</w:t>
            </w:r>
          </w:p>
        </w:tc>
        <w:tc>
          <w:tcPr>
            <w:tcW w:type="dxa" w:w="20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20.0%</w:t>
            </w:r>
          </w:p>
        </w:tc>
      </w:tr>
      <w:tr>
        <w:tc>
          <w:tcPr>
            <w:tcW w:type="dxa" w:w="30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161418"/>
                <w:sz w:val="19"/>
                <w:szCs w:val="19"/>
              </w:rPr>
              <w:t xml:space="preserve">合计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161418"/>
                <w:sz w:val="19"/>
                <w:szCs w:val="19"/>
              </w:rPr>
              <w:t xml:space="preserve">102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161418"/>
                <w:sz w:val="19"/>
                <w:szCs w:val="19"/>
              </w:rPr>
              <w:t xml:space="preserve">97.4%</w:t>
            </w:r>
          </w:p>
        </w:tc>
        <w:tc>
          <w:tcPr>
            <w:tcW w:type="dxa" w:w="20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161418"/>
                <w:sz w:val="19"/>
                <w:szCs w:val="19"/>
              </w:rPr>
              <w:t xml:space="preserve">74.5%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标签精确率 = 规则判为品质问题、且标注样本也判为品质问题的评价数 ÷ 规则判为品质问题的评价数；标签召回率的分母换成标注样本判为品质问题的评价数。规则的标签精确率高、标签召回率偏低，属于偏保守；漏标主要是货不对板的口语化说法和"只收到部分商品"。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绝对值：品质客诉率的真实值约为规则值 × 标签精确率 ÷ 标签召回率（倍数 1.3 倍），2018 年 1-8 月约 6.54%。报告中的品质客诉率一律是规则值，是保守值。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趋势：标注样本中下单年份为 2017 年、2018 年的评价，标签召回率分别为 78.0%、72.1%（41 条 / 61 条）。2018 年不高于 2017 年，所以真实的上升幅度只会更大，两年对比不受漏标影响。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2.4 数据校验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每次运行自动执行 18 项数据校验（跨层对账、主键唯一、分子不大于分母、比率在 0 到 1 之间等），任一项不通过就不输出结果；本次全部通过。已知数据问题写明处理方式、不悄悄删除：时间倒挂 189 个订单、有多条评价 547 个订单、支付金额与商品金额不一致 249 个订单，详见 outputs/qa/dq_report.md。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3. 分析发现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3.1 结论①：品质客诉率持续偏移，差评率跟着准时签收率变化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关键术语　</w:t>
      </w:r>
      <w:r>
        <w:rPr>
          <w:rFonts w:ascii="Arial" w:cs="Arial" w:eastAsia="Microsoft YaHei" w:hAnsi="Arial"/>
        </w:rPr>
        <w:t xml:space="preserve">持续偏移——控制图上连续 9 个及以上月份落在中心线同一侧，说明变化不是随机波动。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结论　</w:t>
      </w:r>
      <w:r>
        <w:rPr>
          <w:rFonts w:ascii="Arial" w:cs="Arial" w:eastAsia="Microsoft YaHei" w:hAnsi="Arial"/>
        </w:rPr>
        <w:t xml:space="preserve">品质客诉率从 2017 年的 4.31% 升到 2018 年 1-8 月的 5.00%，是持续偏移；同期差评率的下降来自物流改善。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295775"/>
            <wp:effectExtent t="0" r="0" b="0" l="0"/>
            <wp:docPr id="1" name="fig01_trend_small_multiples.png" descr="图 1　差评率、准时签收率与品质客诉率（三个指标量纲不同，分开画，不使用双轴）" title="图 1　差评率、准时签收率与品质客诉率（三个指标量纲不同，分开画，不使用双轴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6E6872"/>
          <w:sz w:val="18"/>
          <w:szCs w:val="18"/>
        </w:rPr>
        <w:t xml:space="preserve">图 1　差评率、准时签收率与品质客诉率（三个指标量纲不同，分开画，不使用双轴）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差评率与准时签收率几乎是镜像：下单月 2018-03 准时签收率降到 81.0%，差评率升到 22.8%；2018-08 准时签收率回到 93.8%，差评率回落到 10.9%。品质客诉率的走势与之无关。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781300"/>
            <wp:effectExtent t="0" r="0" b="0" l="0"/>
            <wp:docPr id="1" name="fig08_p_chart.png" descr="图 2　品质客诉率控制图（中心线 = 2017 年品质客诉率 4.31%；控制限 = 中心线 ± 3σ，随当月签收订单数变化）" title="图 2　品质客诉率控制图（中心线 = 2017 年品质客诉率 4.31%；控制限 = 中心线 ± 3σ，随当月签收订单数变化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6E6872"/>
          <w:sz w:val="18"/>
          <w:szCs w:val="18"/>
        </w:rPr>
        <w:t xml:space="preserve">图 2　品质客诉率控制图（中心线 = 2017 年品质客诉率 4.31%；控制限 = 中心线 ± 3σ，随当月签收订单数变化）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控制图：中心线 = 2017 年的品质客诉率 4.31%；上控制限 / 下控制限 = 中心线 ± 3 × √（中心线 × (1 − 中心线) ÷ 当月签收订单数）。2017 年 12 个月均在控制限内；2018-02、2018-05、2018-06 越限（当月品质客诉率高于上控制限）；2017-10 至 2018-08 连续 11 个月高于中心线，构成持续偏移。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3811"/>
        <w:gridCol w:w="2006"/>
      </w:tblGrid>
      <w:tr>
        <w:trPr>
          <w:tblHeader/>
        </w:trP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检验</w:t>
            </w:r>
          </w:p>
        </w:tc>
        <w:tc>
          <w:tcPr>
            <w:tcW w:type="dxa" w:w="3811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结果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2017 年 vs 2018 年 1-8 月品质客诉率（两比例 z 检验）</w:t>
            </w:r>
          </w:p>
        </w:tc>
        <w:tc>
          <w:tcPr>
            <w:tcW w:type="dxa" w:w="3811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z = 5.05，p &lt; 0.0001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显著上升</w:t>
            </w:r>
          </w:p>
        </w:tc>
      </w:tr>
      <w:t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95% 置信区间（Wilson）</w:t>
            </w:r>
          </w:p>
        </w:tc>
        <w:tc>
          <w:tcPr>
            <w:tcW w:type="dxa" w:w="3811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2017 年 4.12% 至 4.50%；2018 年 1-8 月 4.82% 至 5.19%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区间不重叠</w:t>
            </w:r>
          </w:p>
        </w:tc>
      </w:tr>
      <w:t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货不对板客诉率 / 假货客诉率</w:t>
            </w:r>
          </w:p>
        </w:tc>
        <w:tc>
          <w:tcPr>
            <w:tcW w:type="dxa" w:w="3811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z = 5.19（p &lt; 0.0001）/ z = 3.51（p &lt; 0.01）</w:t>
            </w:r>
          </w:p>
        </w:tc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均显著上升</w:t>
            </w:r>
          </w:p>
        </w:tc>
      </w:tr>
    </w:tbl>
    <w:p>
      <w:pPr>
        <w:spacing w:after="160"/>
      </w:pPr>
    </w:p>
    <w:p>
      <w:pPr>
        <w:spacing w:after="120" w:line="360"/>
      </w:pPr>
      <w:r>
        <w:rPr>
          <w:rFonts w:ascii="Arial" w:cs="Arial" w:eastAsia="Microsoft YaHei" w:hAnsi="Arial"/>
        </w:rPr>
        <w:t xml:space="preserve">最后一个月：2018-08 品质客诉率回落到 4.36%（2018-07 为 5.00%）。评价回收率（有评价的签收订单 ÷ 签收订单）8 月 99.7%、7 月 99.4%，相当；只统计签收后 7 天内提交的评价，8 月 4.13% 仍低于 7 月 4.78%。但与 7 月的差异不显著（z = -1.70，p = 0.09），且仍在控制限内，只能作为回落信号继续观察。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动作　</w:t>
      </w:r>
      <w:r>
        <w:rPr>
          <w:rFonts w:ascii="Arial" w:cs="Arial" w:eastAsia="Microsoft YaHei" w:hAnsi="Arial"/>
        </w:rPr>
        <w:t xml:space="preserve">考核品控用品质客诉率，差评率只作为体验指标观察；每月用控制图判断是否越限或持续偏移。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3.2 结论②：差评里品质问题的占比在上升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关键术语　</w:t>
      </w:r>
      <w:r>
        <w:rPr>
          <w:rFonts w:ascii="Arial" w:cs="Arial" w:eastAsia="Microsoft YaHei" w:hAnsi="Arial"/>
        </w:rPr>
        <w:t xml:space="preserve">差评品质原因占比——最后一次评价为差评（1-2 星）的订单中，主标签属于品质问题标签的订单所占的比例（分母含无文字的差评）。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结论　</w:t>
      </w:r>
      <w:r>
        <w:rPr>
          <w:rFonts w:ascii="Arial" w:cs="Arial" w:eastAsia="Microsoft YaHei" w:hAnsi="Arial"/>
        </w:rPr>
        <w:t xml:space="preserve">差评品质原因占比从 2017Q1 的 21.9% 升到 2018Q3 的 35.2%。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000375"/>
            <wp:effectExtent t="0" r="0" b="0" l="0"/>
            <wp:docPr id="1" name="fig02_bad_review_reason_mix.png" descr="图 3　差评订单按主标签分类（按下单季度；2018Q3 只有 7、8 两个月）" title="图 3　差评订单按主标签分类（按下单季度；2018Q3 只有 7、8 两个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6E6872"/>
          <w:sz w:val="18"/>
          <w:szCs w:val="18"/>
        </w:rPr>
        <w:t xml:space="preserve">图 3　差评订单按主标签分类（按下单季度；2018Q3 只有 7、8 两个月）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2017 年四个季度，差评品质原因占比在 21.9% 至 27.1% 之间；2018Q2、2018Q3 为 34.3%、35.2%。主标签为履约服务标签的差评占比在 2018Q1 最高（37.3%），之后回落。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动作　</w:t>
      </w:r>
      <w:r>
        <w:rPr>
          <w:rFonts w:ascii="Arial" w:cs="Arial" w:eastAsia="Microsoft YaHei" w:hAnsi="Arial"/>
        </w:rPr>
        <w:t xml:space="preserve">物流问题缓解之后，差评里剩下的品质问题交给品控治理。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3.3 结论③：上升来自组内效应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关键术语　</w:t>
      </w:r>
      <w:r>
        <w:rPr>
          <w:rFonts w:ascii="Arial" w:cs="Arial" w:eastAsia="Microsoft YaHei" w:hAnsi="Arial"/>
        </w:rPr>
        <w:t xml:space="preserve">组内效应——Σ（2017 年各一级类目签收订单占比 × 该类目品质客诉率的变化），衡量同一类目自身变差带来的变化；结构效应 = Σ（各类目签收订单占比的变化 × 2017 年该类目品质客诉率）。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结论　</w:t>
      </w:r>
      <w:r>
        <w:rPr>
          <w:rFonts w:ascii="Arial" w:cs="Arial" w:eastAsia="Microsoft YaHei" w:hAnsi="Arial"/>
        </w:rPr>
        <w:t xml:space="preserve">品质客诉率变化 +0.69pp，其中组内效应 +0.74pp、结构效应 −0.01pp、交互项 −0.04pp：上升来自同一类目自身变差，而不是卖了更多高品质客诉率的类目。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整体品质客诉率 = Σ（各一级类目签收订单占比 × 该类目品质客诉率），所以两期之差 = 结构效应 + 组内效应 + 交互项。按单件订单 / 多件订单分解，结构效应同样很小（−0.01pp）。组内效应最大的一级类目依次是：3C数码、钟表与潮流好物、家居家纺、母婴玩具。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2514600"/>
            <wp:effectExtent t="0" r="0" b="0" l="0"/>
            <wp:docPr id="1" name="fig03_type_yoy.png" descr="图 4　5 个结果指标：2017 年 vs 2018 年 1-8 月" title="图 4　5 个结果指标：2017 年 vs 2018 年 1-8 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6E6872"/>
          <w:sz w:val="18"/>
          <w:szCs w:val="18"/>
        </w:rPr>
        <w:t xml:space="preserve">图 4　5 个结果指标：2017 年 vs 2018 年 1-8 月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分标签看：货不对板客诉率 1.20% → 1.60%，假货客诉率 12.0 单/万单 → 22.0 单/万单，少件漏发客诉率 1.70% → 1.90%，质量缺陷客诉率 1.52% → 1.59%。问题更多出在"描述与实物不符"和"正品"，而不是商品质量本身。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动作　</w:t>
      </w:r>
      <w:r>
        <w:rPr>
          <w:rFonts w:ascii="Arial" w:cs="Arial" w:eastAsia="Microsoft YaHei" w:hAnsi="Arial"/>
        </w:rPr>
        <w:t xml:space="preserve">治理对象是具体类目里的订单、商家和商品，而不是调整品类结构。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3.4 问题①：多件订单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关键术语　</w:t>
      </w:r>
      <w:r>
        <w:rPr>
          <w:rFonts w:ascii="Arial" w:cs="Arial" w:eastAsia="Microsoft YaHei" w:hAnsi="Arial"/>
        </w:rPr>
        <w:t xml:space="preserve">多件订单——件数不少于 2 的签收订单（件数 = 订单包含的商品行数），分为同 SKU 多件、单商家多 SKU、多商家三类。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结论　</w:t>
      </w:r>
      <w:r>
        <w:rPr>
          <w:rFonts w:ascii="Arial" w:cs="Arial" w:eastAsia="Microsoft YaHei" w:hAnsi="Arial"/>
        </w:rPr>
        <w:t xml:space="preserve">多件订单占签收订单 10.0%，贡献 33.6% 的品质客诉订单，增加的部分主要是少件漏发。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2324100"/>
            <wp:effectExtent t="0" r="0" b="0" l="0"/>
            <wp:docPr id="1" name="fig04_order_structure.png" descr="图 5　不同订单结构的品质客诉率（下单月 2017-01 至 2018-08；黑色为命中少件漏发标签的部分）" title="图 5　不同订单结构的品质客诉率（下单月 2017-01 至 2018-08；黑色为命中少件漏发标签的部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6E6872"/>
          <w:sz w:val="18"/>
          <w:szCs w:val="18"/>
        </w:rPr>
        <w:t xml:space="preserve">图 5　不同订单结构的品质客诉率（下单月 2017-01 至 2018-08；黑色为命中少件漏发标签的部分）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1404"/>
        <w:gridCol w:w="1304"/>
        <w:gridCol w:w="1504"/>
        <w:gridCol w:w="1504"/>
        <w:gridCol w:w="1304"/>
      </w:tblGrid>
      <w:tr>
        <w:trPr>
          <w:tblHeader/>
        </w:trPr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订单结构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签收订单数</w:t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占签收订单</w:t>
            </w:r>
          </w:p>
        </w:tc>
        <w:tc>
          <w:tcPr>
            <w:tcW w:type="dxa" w:w="15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品质客诉率</w:t>
            </w:r>
          </w:p>
        </w:tc>
        <w:tc>
          <w:tcPr>
            <w:tcW w:type="dxa" w:w="15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少件漏发客诉率</w:t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差评率</w:t>
            </w:r>
          </w:p>
        </w:tc>
      </w:tr>
      <w:tr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单件订单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86,598</w:t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90.0%</w:t>
            </w:r>
          </w:p>
        </w:tc>
        <w:tc>
          <w:tcPr>
            <w:tcW w:type="dxa" w:w="15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3.46%</w:t>
            </w:r>
          </w:p>
        </w:tc>
        <w:tc>
          <w:tcPr>
            <w:tcW w:type="dxa" w:w="15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0.53%</w:t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11.3%</w:t>
            </w:r>
          </w:p>
        </w:tc>
      </w:tr>
      <w:tr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同 SKU 多件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6,417</w:t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6.7%</w:t>
            </w:r>
          </w:p>
        </w:tc>
        <w:tc>
          <w:tcPr>
            <w:tcW w:type="dxa" w:w="15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14.23%</w:t>
            </w:r>
          </w:p>
        </w:tc>
        <w:tc>
          <w:tcPr>
            <w:tcW w:type="dxa" w:w="15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11.83%</w:t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23.2%</w:t>
            </w:r>
          </w:p>
        </w:tc>
      </w:tr>
      <w:tr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单商家多 SKU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1,916</w:t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2.0%</w:t>
            </w:r>
          </w:p>
        </w:tc>
        <w:tc>
          <w:tcPr>
            <w:tcW w:type="dxa" w:w="15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13.62%</w:t>
            </w:r>
          </w:p>
        </w:tc>
        <w:tc>
          <w:tcPr>
            <w:tcW w:type="dxa" w:w="15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11.33%</w:t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24.9%</w:t>
            </w:r>
          </w:p>
        </w:tc>
      </w:tr>
      <w:tr>
        <w:tc>
          <w:tcPr>
            <w:tcW w:type="dxa" w:w="20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多商家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1,272</w:t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1.3%</w:t>
            </w:r>
          </w:p>
        </w:tc>
        <w:tc>
          <w:tcPr>
            <w:tcW w:type="dxa" w:w="15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26.97%</w:t>
            </w:r>
          </w:p>
        </w:tc>
        <w:tc>
          <w:tcPr>
            <w:tcW w:type="dxa" w:w="15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24.37%</w:t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47.1%</w:t>
            </w:r>
          </w:p>
        </w:tc>
      </w:tr>
    </w:tbl>
    <w:p>
      <w:pPr>
        <w:spacing w:after="160"/>
      </w:pPr>
    </w:p>
    <w:p>
      <w:pPr>
        <w:spacing w:after="120" w:line="360"/>
      </w:pPr>
      <w:r>
        <w:rPr>
          <w:rFonts w:ascii="Arial" w:cs="Arial" w:eastAsia="Microsoft YaHei" w:hAnsi="Arial"/>
        </w:rPr>
        <w:t xml:space="preserve">多件订单品质客诉率 15.79%，是单件订单 3.46% 的 4.6 倍；全部少件漏发客诉订单中，73.7% 来自多件订单。多件订单中命中少件漏发标签的品质客诉订单，99.8% 的评价日期不早于签收日期：不是"还没收齐就评价"，而是签收后确实缺件——漏发，或分包裹没有同时送达、也没有告知用户。两种情况都指向出库环节。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动作　</w:t>
      </w:r>
      <w:r>
        <w:rPr>
          <w:rFonts w:ascii="Arial" w:cs="Arial" w:eastAsia="Microsoft YaHei" w:hAnsi="Arial"/>
        </w:rPr>
        <w:t xml:space="preserve">举措 A：多件订单出库复核 + 分包裹提醒（见第 5 章）。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3.5 问题②：高风险商家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关键术语　</w:t>
      </w:r>
      <w:r>
        <w:rPr>
          <w:rFonts w:ascii="Arial" w:cs="Arial" w:eastAsia="Microsoft YaHei" w:hAnsi="Arial"/>
        </w:rPr>
        <w:t xml:space="preserve">高风险商家——参评商家中，平滑品质客诉率 ≥ 商家基准品质客诉率 × 2，且商家品质客诉订单不少于 3 单的商家。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结论　</w:t>
      </w:r>
      <w:r>
        <w:rPr>
          <w:rFonts w:ascii="Arial" w:cs="Arial" w:eastAsia="Microsoft YaHei" w:hAnsi="Arial"/>
        </w:rPr>
        <w:t xml:space="preserve">10 家高风险商家占参评商家的 3.3%、商家签收订单的 3.6%，贡献 12.5% 的商家品质客诉订单；回测中下一个 6 个月仍是商家基准品质客诉率的 2.2 倍。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2095500"/>
            <wp:effectExtent t="0" r="0" b="0" l="0"/>
            <wp:docPr id="1" name="fig05_seller_tier.png" descr="图 6　299 家参评商家的构成（商家评估窗口：下单月 2018-03 至 2018-08）" title="图 6　299 家参评商家的构成（商家评估窗口：下单月 2018-03 至 2018-08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6E6872"/>
          <w:sz w:val="18"/>
          <w:szCs w:val="18"/>
        </w:rPr>
        <w:t xml:space="preserve">图 6　299 家参评商家的构成（商家评估窗口：下单月 2018-03 至 2018-08）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参评商家：商家评估窗口内商家签收订单不少于 30 单的商家；一个订单含多个商家时，每个商家各计 1 单（商家签收订单、商家品质客诉订单）。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商家基准品质客诉率 = 商家评估窗口内全部商家的商家品质客诉订单之和 ÷ 商家签收订单之和 = 5.33%；一个订单含多个商家时重复计入，所以不等于品质客诉率。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平滑品质客诉率 =（商家品质客诉订单数 + 50 × 商家基准品质客诉率）÷（商家签收订单数 + 50）：给每个商家先加 50 单"商家基准水平"的虚拟订单，避免"10 单里 1 单 = 10%"的小样本商家被误判。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商家品质分 = 品质客诉率 50% + 差评率 20% + 发货超时率 15% + 准时签收率 15%，每项按参评商家中的百分位排名打分，只用于商家之间排序。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203"/>
        <w:gridCol w:w="1605"/>
        <w:gridCol w:w="1805"/>
        <w:gridCol w:w="1404"/>
        <w:gridCol w:w="1404"/>
      </w:tblGrid>
      <w:tr>
        <w:trPr>
          <w:tblHeader/>
        </w:trPr>
        <w:tc>
          <w:tcPr>
            <w:tcW w:type="dxa" w:w="16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商家分层</w:t>
            </w:r>
          </w:p>
        </w:tc>
        <w:tc>
          <w:tcPr>
            <w:tcW w:type="dxa" w:w="12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商家数</w:t>
            </w:r>
          </w:p>
        </w:tc>
        <w:tc>
          <w:tcPr>
            <w:tcW w:type="dxa" w:w="16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商家签收订单数</w:t>
            </w:r>
          </w:p>
        </w:tc>
        <w:tc>
          <w:tcPr>
            <w:tcW w:type="dxa" w:w="18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商家品质客诉订单数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品质客诉率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商家品质客诉订单占比</w:t>
            </w:r>
          </w:p>
        </w:tc>
      </w:tr>
      <w:tr>
        <w:tc>
          <w:tcPr>
            <w:tcW w:type="dxa" w:w="16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正常商家</w:t>
            </w:r>
          </w:p>
        </w:tc>
        <w:tc>
          <w:tcPr>
            <w:tcW w:type="dxa" w:w="12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246</w:t>
            </w:r>
          </w:p>
        </w:tc>
        <w:tc>
          <w:tcPr>
            <w:tcW w:type="dxa" w:w="16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22,080</w:t>
            </w:r>
          </w:p>
        </w:tc>
        <w:tc>
          <w:tcPr>
            <w:tcW w:type="dxa" w:w="18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908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4.11%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62.2%</w:t>
            </w:r>
          </w:p>
        </w:tc>
      </w:tr>
      <w:tr>
        <w:tc>
          <w:tcPr>
            <w:tcW w:type="dxa" w:w="16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需关注商家</w:t>
            </w:r>
          </w:p>
        </w:tc>
        <w:tc>
          <w:tcPr>
            <w:tcW w:type="dxa" w:w="12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43</w:t>
            </w:r>
          </w:p>
        </w:tc>
        <w:tc>
          <w:tcPr>
            <w:tcW w:type="dxa" w:w="16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4,002</w:t>
            </w:r>
          </w:p>
        </w:tc>
        <w:tc>
          <w:tcPr>
            <w:tcW w:type="dxa" w:w="18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369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9.22%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25.3%</w:t>
            </w:r>
          </w:p>
        </w:tc>
      </w:tr>
      <w:tr>
        <w:tc>
          <w:tcPr>
            <w:tcW w:type="dxa" w:w="16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高风险商家</w:t>
            </w:r>
          </w:p>
        </w:tc>
        <w:tc>
          <w:tcPr>
            <w:tcW w:type="dxa" w:w="12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10</w:t>
            </w:r>
          </w:p>
        </w:tc>
        <w:tc>
          <w:tcPr>
            <w:tcW w:type="dxa" w:w="16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976</w:t>
            </w:r>
          </w:p>
        </w:tc>
        <w:tc>
          <w:tcPr>
            <w:tcW w:type="dxa" w:w="18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182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18.65%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12.5%</w:t>
            </w:r>
          </w:p>
        </w:tc>
      </w:tr>
    </w:tbl>
    <w:p>
      <w:pPr>
        <w:spacing w:after="160"/>
      </w:pPr>
    </w:p>
    <w:p>
      <w:pPr>
        <w:spacing w:after="120" w:line="360"/>
      </w:pPr>
      <w:r>
        <w:rPr>
          <w:rFonts w:ascii="Arial" w:cs="Arial" w:eastAsia="Microsoft YaHei" w:hAnsi="Arial"/>
        </w:rPr>
        <w:t xml:space="preserve">名单是否可信，做了两项检验。① 显著性：10 家高风险商家的 Wilson 95% 置信区间下限都高于商家基准品质客诉率；如果不平滑、只看未平滑的品质客诉率 ≥ 商家基准 × 2，28 家参评商家中有 4 家并不显著。② 回测：用一个 6 个月窗口（训练期）分层，看同一批商家在接下来 6 个月（检验期）的表现。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2162175"/>
            <wp:effectExtent t="0" r="0" b="0" l="0"/>
            <wp:docPr id="1" name="fig11_backtest.png" descr="图 7　回测：检验期品质客诉率 ÷ 检验期商家基准品质客诉率（3 组窗口）" title="图 7　回测：检验期品质客诉率 ÷ 检验期商家基准品质客诉率（3 组窗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6E6872"/>
          <w:sz w:val="18"/>
          <w:szCs w:val="18"/>
        </w:rPr>
        <w:t xml:space="preserve">图 7　回测：检验期品质客诉率 ÷ 检验期商家基准品质客诉率（3 组窗口）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3 组窗口按商家数加权：高风险商家（11 家次）2.2 倍，需关注商家 1.5 倍，正常商家 0.9 倍；每组窗口的排序都成立。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对照：未平滑的品质客诉率 ≥ 商家基准 × 2 的规则圈出 83 家次，检验期只有 1.7 倍：平滑后名单更短、倍数更高。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回落：2 组窗口中，高风险商家的品质客诉率从训练期到检验期回落（13.29% → 9.66%，15.31% → 10.04%）。评估整改效果必须设对照组，否则会把自然回落误判为整改成果。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动作　</w:t>
      </w:r>
      <w:r>
        <w:rPr>
          <w:rFonts w:ascii="Arial" w:cs="Arial" w:eastAsia="Microsoft YaHei" w:hAnsi="Arial"/>
        </w:rPr>
        <w:t xml:space="preserve">举措 B：高风险商家和需关注商家整改；评估效果时设对照组。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3.6 问题③：假货与高风险品类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关键术语　</w:t>
      </w:r>
      <w:r>
        <w:rPr>
          <w:rFonts w:ascii="Arial" w:cs="Arial" w:eastAsia="Microsoft YaHei" w:hAnsi="Arial"/>
        </w:rPr>
        <w:t xml:space="preserve">假货客诉率——命中假货标签的品质客诉订单数 ÷ 签收订单数，以"单/万单"表示（每 1 万个签收订单中的个数）。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结论　</w:t>
      </w:r>
      <w:r>
        <w:rPr>
          <w:rFonts w:ascii="Arial" w:cs="Arial" w:eastAsia="Microsoft YaHei" w:hAnsi="Arial"/>
        </w:rPr>
        <w:t xml:space="preserve">假货集中在电脑配件（66.2 单/万单）和钟表礼品（53.0 单/万单），全部签收订单为 17.7 单/万单（下单月 2017-01 至 2018-08，按主品类）。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3267075"/>
            <wp:effectExtent t="0" r="0" b="0" l="0"/>
            <wp:docPr id="1" name="fig06_category_scatter.png" descr="图 8　主品类的体量与品质客诉率（下单月 2017-01 至 2018-08，签收订单 ≥ 300 的主品类）" title="图 8　主品类的体量与品质客诉率（下单月 2017-01 至 2018-08，签收订单 ≥ 300 的主品类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6E6872"/>
          <w:sz w:val="18"/>
          <w:szCs w:val="18"/>
        </w:rPr>
        <w:t xml:space="preserve">图 8　主品类的体量与品质客诉率（下单月 2017-01 至 2018-08，签收订单 ≥ 300 的主品类）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办公家具：品质客诉率 10.76%，是全部签收订单（4.69%）的 2.3 倍；少件漏发客诉率 5.78%，质量缺陷客诉率 4.42%。单件订单中主商品重量 ≥ 15kg 的，品质客诉率 6.26%，是 1-5kg 商品（3.16%）的 2.0 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商品信息缺失：单件订单中，主商品缺少品类、图片、描述信息的，假货客诉率 138.0 单/万单；有 1 张及以上图片的 15.9 单/万单。图片张数本身（1 张 vs 4 张及以上）与品质客诉率关系不大。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动作　</w:t>
      </w:r>
      <w:r>
        <w:rPr>
          <w:rFonts w:ascii="Arial" w:cs="Arial" w:eastAsia="Microsoft YaHei" w:hAnsi="Arial"/>
        </w:rPr>
        <w:t xml:space="preserve">举措 C：一级类目 3C数码、钟表与潮流好物的正品与商品描述专项；商品信息缺一项不允许上架。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3.7 品类结构：穿戴类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关键术语　</w:t>
      </w:r>
      <w:r>
        <w:rPr>
          <w:rFonts w:ascii="Arial" w:cs="Arial" w:eastAsia="Microsoft YaHei" w:hAnsi="Arial"/>
        </w:rPr>
        <w:t xml:space="preserve">品类结构重加权——把穿戴类在签收订单中的占比从 9.2% 调为 75%，其余 25% 为非穿戴类，用两类各自 2018 年 1-8 月的指标重算整体指标；75% 取自唯品会 2024 年财报报道的穿戴类 GMV 占比，这里用 GMV 占比近似订单占比。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结论　</w:t>
      </w:r>
      <w:r>
        <w:rPr>
          <w:rFonts w:ascii="Arial" w:cs="Arial" w:eastAsia="Microsoft YaHei" w:hAnsi="Arial"/>
        </w:rPr>
        <w:t xml:space="preserve">穿戴类占比调为 75% 时，2018 年 1-8 月的假货客诉率从 22.0 单/万单 升到 45.1 单/万单，品质客诉率变化不大（5.00% → 5.05%）。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穿戴类：主品类属于一级类目"服饰鞋包"（箱包配饰、鞋靴、运动服饰、女装、男装、内衣泳装、旅行箱包），或主品类为"钟表礼品""童装"的签收订单。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2647950"/>
            <wp:effectExtent t="0" r="0" b="0" l="0"/>
            <wp:docPr id="1" name="fig09_wearables.png" descr="图 9　穿戴类 vs 非穿戴类：品质客诉率与假货客诉率（2017 年 vs 2018 年 1-8 月）" title="图 9　穿戴类 vs 非穿戴类：品质客诉率与假货客诉率（2017 年 vs 2018 年 1-8 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6E6872"/>
          <w:sz w:val="18"/>
          <w:szCs w:val="18"/>
        </w:rPr>
        <w:t xml:space="preserve">图 9　穿戴类 vs 非穿戴类：品质客诉率与假货客诉率（2017 年 vs 2018 年 1-8 月）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穿戴类品质客诉率 3.74% → 5.08%（z = 3.01，p &lt; 0.01）；非穿戴类 4.37% → 4.99%。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穿戴类假货客诉率 10.1 → 53.9 单/万单，主要来自钟表礼品；非穿戴类 12.7 → 18.8 单/万单。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服装（主品类为男装、女装、鞋靴、内衣泳装、运动服饰，共 513 个签收订单）货不对板客诉率 4.48%（95% 置信区间 3.01% 至 6.64%）：尺码、颜色、材质与描述不符是服装的主要品质问题。Olist 的服装样本小，结论是方向性的。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外部参考：国家市场监督管理总局的产品质量抽查结果（数字取自公告及其新闻转载，引用前应核对原文，出处见 data/external/README.md）。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1905"/>
        <w:gridCol w:w="1705"/>
        <w:gridCol w:w="1404"/>
        <w:gridCol w:w="1003"/>
        <w:gridCol w:w="2307"/>
      </w:tblGrid>
      <w:tr>
        <w:trPr>
          <w:tblHeader/>
        </w:trPr>
        <w:tc>
          <w:tcPr>
            <w:tcW w:type="dxa" w:w="702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年份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抽查范围</w:t>
            </w:r>
          </w:p>
        </w:tc>
        <w:tc>
          <w:tcPr>
            <w:tcW w:type="dxa" w:w="17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产品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批次 / 不合格批次</w:t>
            </w:r>
          </w:p>
        </w:tc>
        <w:tc>
          <w:tcPr>
            <w:tcW w:type="dxa" w:w="10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不合格率</w:t>
            </w:r>
          </w:p>
        </w:tc>
        <w:tc>
          <w:tcPr>
            <w:tcW w:type="dxa" w:w="23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要点</w:t>
            </w:r>
          </w:p>
        </w:tc>
      </w:tr>
      <w:tr>
        <w:tc>
          <w:tcPr>
            <w:tcW w:type="dxa" w:w="702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2023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全年国家监督抽查</w:t>
            </w:r>
          </w:p>
        </w:tc>
        <w:tc>
          <w:tcPr>
            <w:tcW w:type="dxa" w:w="17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143种产品合计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28,265 / 3,476</w:t>
            </w:r>
          </w:p>
        </w:tc>
        <w:tc>
          <w:tcPr>
            <w:tcW w:type="dxa" w:w="10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12.3%</w:t>
            </w:r>
          </w:p>
        </w:tc>
        <w:tc>
          <w:tcPr>
            <w:tcW w:type="dxa" w:w="23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生产领域16021批次不合格率6.7%；流通领域12244批次不合格率19.6%</w:t>
            </w:r>
          </w:p>
        </w:tc>
      </w:tr>
      <w:tr>
        <w:tc>
          <w:tcPr>
            <w:tcW w:type="dxa" w:w="702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2023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全年国家监督抽查</w:t>
            </w:r>
          </w:p>
        </w:tc>
        <w:tc>
          <w:tcPr>
            <w:tcW w:type="dxa" w:w="17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按企业规模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—</w:t>
            </w:r>
          </w:p>
        </w:tc>
        <w:tc>
          <w:tcPr>
            <w:tcW w:type="dxa" w:w="10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—</w:t>
            </w:r>
          </w:p>
        </w:tc>
        <w:tc>
          <w:tcPr>
            <w:tcW w:type="dxa" w:w="23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大型企业0.8%；中型企业2.2%；小型企业13.2%</w:t>
            </w:r>
          </w:p>
        </w:tc>
      </w:tr>
      <w:tr>
        <w:tc>
          <w:tcPr>
            <w:tcW w:type="dxa" w:w="702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2023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全年国家监督抽查</w:t>
            </w:r>
          </w:p>
        </w:tc>
        <w:tc>
          <w:tcPr>
            <w:tcW w:type="dxa" w:w="17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家用电器（26种）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—</w:t>
            </w:r>
          </w:p>
        </w:tc>
        <w:tc>
          <w:tcPr>
            <w:tcW w:type="dxa" w:w="10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20.7%</w:t>
            </w:r>
          </w:p>
        </w:tc>
        <w:tc>
          <w:tcPr>
            <w:tcW w:type="dxa" w:w="23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2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2023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电商平台（15家）</w:t>
            </w:r>
          </w:p>
        </w:tc>
        <w:tc>
          <w:tcPr>
            <w:tcW w:type="dxa" w:w="17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羽绒服装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185 / 26</w:t>
            </w:r>
          </w:p>
        </w:tc>
        <w:tc>
          <w:tcPr>
            <w:tcW w:type="dxa" w:w="10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14.1%</w:t>
            </w:r>
          </w:p>
        </w:tc>
        <w:tc>
          <w:tcPr>
            <w:tcW w:type="dxa" w:w="23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19批次纤维含量不合格；6批次含绒量不合格；1批次涉嫌假冒</w:t>
            </w:r>
          </w:p>
        </w:tc>
      </w:tr>
      <w:tr>
        <w:tc>
          <w:tcPr>
            <w:tcW w:type="dxa" w:w="702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2023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电商平台（18家）</w:t>
            </w:r>
          </w:p>
        </w:tc>
        <w:tc>
          <w:tcPr>
            <w:tcW w:type="dxa" w:w="17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玩具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224 / 14</w:t>
            </w:r>
          </w:p>
        </w:tc>
        <w:tc>
          <w:tcPr>
            <w:tcW w:type="dxa" w:w="10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6.3%</w:t>
            </w:r>
          </w:p>
        </w:tc>
        <w:tc>
          <w:tcPr>
            <w:tcW w:type="dxa" w:w="23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不合格项均为安全项目（塑料袋/薄膜、小零件、增塑剂）</w:t>
            </w:r>
          </w:p>
        </w:tc>
      </w:tr>
      <w:tr>
        <w:tc>
          <w:tcPr>
            <w:tcW w:type="dxa" w:w="702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2023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电商平台（14家）</w:t>
            </w:r>
          </w:p>
        </w:tc>
        <w:tc>
          <w:tcPr>
            <w:tcW w:type="dxa" w:w="17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学生书包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86 / 25</w:t>
            </w:r>
          </w:p>
        </w:tc>
        <w:tc>
          <w:tcPr>
            <w:tcW w:type="dxa" w:w="10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29.1%</w:t>
            </w:r>
          </w:p>
        </w:tc>
        <w:tc>
          <w:tcPr>
            <w:tcW w:type="dxa" w:w="23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2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2022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网售产品（20家电商平台）</w:t>
            </w:r>
          </w:p>
        </w:tc>
        <w:tc>
          <w:tcPr>
            <w:tcW w:type="dxa" w:w="17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羽绒服装、儿童及婴幼儿服装等19种</w:t>
            </w:r>
          </w:p>
        </w:tc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2,204 / 373</w:t>
            </w:r>
          </w:p>
        </w:tc>
        <w:tc>
          <w:tcPr>
            <w:tcW w:type="dxa" w:w="10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16.9%</w:t>
            </w:r>
          </w:p>
        </w:tc>
        <w:tc>
          <w:tcPr>
            <w:tcW w:type="dxa" w:w="23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不合格批次中71.6%涉及安全项目</w:t>
            </w:r>
          </w:p>
        </w:tc>
      </w:tr>
    </w:tbl>
    <w:p>
      <w:pPr>
        <w:spacing w:after="160"/>
      </w:pPr>
    </w:p>
    <w:p>
      <w:pPr>
        <w:spacing w:after="120" w:line="360"/>
      </w:pPr>
      <w:r>
        <w:rPr>
          <w:rFonts w:ascii="Arial" w:cs="Arial" w:eastAsia="Microsoft YaHei" w:hAnsi="Arial"/>
        </w:rPr>
        <w:t xml:space="preserve">与本项目方向一致的两点：电商渠道羽绒服不合格的主因是纤维含量、含绒量与标称不符，属于货不对板；小型企业、流通领域的不合格率明显高于大型企业、生产领域（见上表要点），支持按供应商规模和历史表现分配抽检（见 5.4）。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动作　</w:t>
      </w:r>
      <w:r>
        <w:rPr>
          <w:rFonts w:ascii="Arial" w:cs="Arial" w:eastAsia="Microsoft YaHei" w:hAnsi="Arial"/>
        </w:rPr>
        <w:t xml:space="preserve">穿戴类入仓质检把成分、标签与商品描述是否一致列为必检项。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4. 不成立或证据不足的假设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1103"/>
        <w:gridCol w:w="3310"/>
        <w:gridCol w:w="2507"/>
      </w:tblGrid>
      <w:tr>
        <w:trPr>
          <w:tblHeader/>
        </w:trPr>
        <w:tc>
          <w:tcPr>
            <w:tcW w:type="dxa" w:w="21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假设</w:t>
            </w:r>
          </w:p>
        </w:tc>
        <w:tc>
          <w:tcPr>
            <w:tcW w:type="dxa" w:w="11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结论</w:t>
            </w:r>
          </w:p>
        </w:tc>
        <w:tc>
          <w:tcPr>
            <w:tcW w:type="dxa" w:w="3310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证据</w:t>
            </w:r>
          </w:p>
        </w:tc>
        <w:tc>
          <w:tcPr>
            <w:tcW w:type="dxa" w:w="25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对决策的含义</w:t>
            </w:r>
          </w:p>
        </w:tc>
      </w:tr>
      <w:tr>
        <w:tc>
          <w:tcPr>
            <w:tcW w:type="dxa" w:w="21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新入驻商家品质更差</w:t>
            </w:r>
          </w:p>
        </w:tc>
        <w:tc>
          <w:tcPr>
            <w:tcW w:type="dxa" w:w="11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不成立</w:t>
            </w:r>
          </w:p>
        </w:tc>
        <w:tc>
          <w:tcPr>
            <w:tcW w:type="dxa" w:w="3310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入驻不足 3 个月的商家 4.94%，入驻 12 个月以上 5.38%（按商家签收订单计算，下单月 2017-07 至 2018-08；入驻时长 = 下单时间 − 商家第一个订单的时间）</w:t>
            </w:r>
          </w:p>
        </w:tc>
        <w:tc>
          <w:tcPr>
            <w:tcW w:type="dxa" w:w="25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治理重点放在存量商家的持续监控</w:t>
            </w:r>
          </w:p>
        </w:tc>
      </w:tr>
      <w:tr>
        <w:tc>
          <w:tcPr>
            <w:tcW w:type="dxa" w:w="21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送晚了导致更多损坏</w:t>
            </w:r>
          </w:p>
        </w:tc>
        <w:tc>
          <w:tcPr>
            <w:tcW w:type="dxa" w:w="11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不成立</w:t>
            </w:r>
          </w:p>
        </w:tc>
        <w:tc>
          <w:tcPr>
            <w:tcW w:type="dxa" w:w="3310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延迟签收订单品质客诉率 2.99%，准时签收订单 4.81%；包装破损客诉率 0.11% vs 0.12%（延迟签收订单：签收日期晚于承诺送达日期的签收订单）</w:t>
            </w:r>
          </w:p>
        </w:tc>
        <w:tc>
          <w:tcPr>
            <w:tcW w:type="dxa" w:w="25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物流时效与品质问题分开治理</w:t>
            </w:r>
          </w:p>
        </w:tc>
      </w:tr>
      <w:tr>
        <w:tc>
          <w:tcPr>
            <w:tcW w:type="dxa" w:w="21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首单遇到品质问题会流失</w:t>
            </w:r>
          </w:p>
        </w:tc>
        <w:tc>
          <w:tcPr>
            <w:tcW w:type="dxa" w:w="11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证据不足</w:t>
            </w:r>
          </w:p>
        </w:tc>
        <w:tc>
          <w:tcPr>
            <w:tcW w:type="dxa" w:w="3310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首单为品质客诉订单的用户复购率 3.9%，首单 5 星 4.3%，全部用户 4.1%（复购率：首单早于 2018-03-01、首单签收且有评价的用户中，分析范围内下过 2 个及以上订单的用户所占比例）</w:t>
            </w:r>
          </w:p>
        </w:tc>
        <w:tc>
          <w:tcPr>
            <w:tcW w:type="dxa" w:w="25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需要会员与复购数据验证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Microsoft YaHei" w:hAnsi="Arial"/>
        </w:rPr>
        <w:t xml:space="preserve">5. 举措与治理测算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5.1 治理测算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关键术语　</w:t>
      </w:r>
      <w:r>
        <w:rPr>
          <w:rFonts w:ascii="Arial" w:cs="Arial" w:eastAsia="Microsoft YaHei" w:hAnsi="Arial"/>
        </w:rPr>
        <w:t xml:space="preserve">治理测算——以 2018 年 1-8 月的签收订单为基期，估算三项举措实施后的品质客诉率；一个品质客诉订单被多项举措覆盖时，避免概率按 1 − Π(1 − 各举措降幅) 叠加。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结论　</w:t>
      </w:r>
      <w:r>
        <w:rPr>
          <w:rFonts w:ascii="Arial" w:cs="Arial" w:eastAsia="Microsoft YaHei" w:hAnsi="Arial"/>
        </w:rPr>
        <w:t xml:space="preserve">中性情景下，三项举措把品质客诉率从 5.00% 降到 3.82%。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2562225"/>
            <wp:effectExtent t="0" r="0" b="0" l="0"/>
            <wp:docPr id="1" name="fig07_sizing_waterfall.png" descr="图 10　治理测算：中性情景下三项举措对品质客诉率的影响" title="图 10　治理测算：中性情景下三项举措对品质客诉率的影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6E6872"/>
          <w:sz w:val="18"/>
          <w:szCs w:val="18"/>
        </w:rPr>
        <w:t xml:space="preserve">图 10　治理测算：中性情景下三项举措对品质客诉率的影响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2908"/>
        <w:gridCol w:w="1003"/>
        <w:gridCol w:w="1304"/>
        <w:gridCol w:w="1605"/>
      </w:tblGrid>
      <w:tr>
        <w:trPr>
          <w:tblHeader/>
        </w:trPr>
        <w:tc>
          <w:tcPr>
            <w:tcW w:type="dxa" w:w="22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举措</w:t>
            </w:r>
          </w:p>
        </w:tc>
        <w:tc>
          <w:tcPr>
            <w:tcW w:type="dxa" w:w="29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作用对象</w:t>
            </w:r>
          </w:p>
        </w:tc>
        <w:tc>
          <w:tcPr>
            <w:tcW w:type="dxa" w:w="10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中性降幅</w:t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品质客诉率变化</w:t>
            </w:r>
          </w:p>
        </w:tc>
        <w:tc>
          <w:tcPr>
            <w:tcW w:type="dxa" w:w="16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跟踪指标</w:t>
            </w:r>
          </w:p>
        </w:tc>
      </w:tr>
      <w:tr>
        <w:tc>
          <w:tcPr>
            <w:tcW w:type="dxa" w:w="22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A 多件订单出库复核 + 分包裹提醒</w:t>
            </w:r>
          </w:p>
        </w:tc>
        <w:tc>
          <w:tcPr>
            <w:tcW w:type="dxa" w:w="29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多件订单中命中少件漏发标签的品质客诉订单</w:t>
            </w:r>
          </w:p>
        </w:tc>
        <w:tc>
          <w:tcPr>
            <w:tcW w:type="dxa" w:w="10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50%</w:t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−0.72pp</w:t>
            </w:r>
          </w:p>
        </w:tc>
        <w:tc>
          <w:tcPr>
            <w:tcW w:type="dxa" w:w="16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多件订单少件漏发客诉率</w:t>
            </w:r>
          </w:p>
        </w:tc>
      </w:tr>
      <w:tr>
        <w:tc>
          <w:tcPr>
            <w:tcW w:type="dxa" w:w="22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B 高风险商家和需关注商家整改</w:t>
            </w:r>
          </w:p>
        </w:tc>
        <w:tc>
          <w:tcPr>
            <w:tcW w:type="dxa" w:w="29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主商家为高风险商家或需关注商家的品质客诉订单</w:t>
            </w:r>
          </w:p>
        </w:tc>
        <w:tc>
          <w:tcPr>
            <w:tcW w:type="dxa" w:w="10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30%</w:t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−0.31pp</w:t>
            </w:r>
          </w:p>
        </w:tc>
        <w:tc>
          <w:tcPr>
            <w:tcW w:type="dxa" w:w="16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高风险商家数、高风险商家整改完成率</w:t>
            </w:r>
          </w:p>
        </w:tc>
      </w:tr>
      <w:tr>
        <w:tc>
          <w:tcPr>
            <w:tcW w:type="dxa" w:w="22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C 3C数码、钟表与潮流好物正品与商品描述专项</w:t>
            </w:r>
          </w:p>
        </w:tc>
        <w:tc>
          <w:tcPr>
            <w:tcW w:type="dxa" w:w="29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主品类属于这两个一级类目、且命中假货或货不对板标签的品质客诉订单</w:t>
            </w:r>
          </w:p>
        </w:tc>
        <w:tc>
          <w:tcPr>
            <w:tcW w:type="dxa" w:w="10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30%</w:t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−0.15pp</w:t>
            </w:r>
          </w:p>
        </w:tc>
        <w:tc>
          <w:tcPr>
            <w:tcW w:type="dxa" w:w="16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假货客诉率、货不对板客诉率</w:t>
            </w:r>
          </w:p>
        </w:tc>
      </w:tr>
      <w:tr>
        <w:tc>
          <w:tcPr>
            <w:tcW w:type="dxa" w:w="2206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161418"/>
                <w:sz w:val="19"/>
                <w:szCs w:val="19"/>
              </w:rPr>
              <w:t xml:space="preserve">合计</w:t>
            </w:r>
          </w:p>
        </w:tc>
        <w:tc>
          <w:tcPr>
            <w:tcW w:type="dxa" w:w="2908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161418"/>
                <w:sz w:val="19"/>
                <w:szCs w:val="19"/>
              </w:rPr>
              <w:t xml:space="preserve">基期 52,777 个签收订单</w:t>
            </w:r>
          </w:p>
        </w:tc>
        <w:tc>
          <w:tcPr>
            <w:tcW w:type="dxa" w:w="1003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161418"/>
                <w:sz w:val="19"/>
                <w:szCs w:val="19"/>
              </w:rPr>
              <w:t xml:space="preserve"/>
            </w:r>
          </w:p>
        </w:tc>
        <w:tc>
          <w:tcPr>
            <w:tcW w:type="dxa" w:w="13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161418"/>
                <w:sz w:val="19"/>
                <w:szCs w:val="19"/>
              </w:rPr>
              <w:t xml:space="preserve">5.00% → 3.82%</w:t>
            </w:r>
          </w:p>
        </w:tc>
        <w:tc>
          <w:tcPr>
            <w:tcW w:type="dxa" w:w="16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161418"/>
                <w:sz w:val="19"/>
                <w:szCs w:val="19"/>
              </w:rPr>
              <w:t xml:space="preserve">品质客诉率</w:t>
            </w:r>
          </w:p>
        </w:tc>
      </w:tr>
    </w:tbl>
    <w:p>
      <w:pPr>
        <w:spacing w:after="160"/>
      </w:pP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动作　</w:t>
      </w:r>
      <w:r>
        <w:rPr>
          <w:rFonts w:ascii="Arial" w:cs="Arial" w:eastAsia="Microsoft YaHei" w:hAnsi="Arial"/>
        </w:rPr>
        <w:t xml:space="preserve">降幅是假设参数，和业务方一起校准后再更新测算。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5.2 情景与敏感性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关键术语　</w:t>
      </w:r>
      <w:r>
        <w:rPr>
          <w:rFonts w:ascii="Arial" w:cs="Arial" w:eastAsia="Microsoft YaHei" w:hAnsi="Arial"/>
        </w:rPr>
        <w:t xml:space="preserve">情景——举措降幅的三组假设：悲观（A 30%、B 15%、C 15%）、中性（50%、30%、30%）、乐观（70%、45%、45%）。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结论　</w:t>
      </w:r>
      <w:r>
        <w:rPr>
          <w:rFonts w:ascii="Arial" w:cs="Arial" w:eastAsia="Microsoft YaHei" w:hAnsi="Arial"/>
        </w:rPr>
        <w:t xml:space="preserve">悲观情景 4.32%，中性 3.82%，乐观 3.34%；最敏感的是举措 A 的降幅。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905"/>
        <w:gridCol w:w="1905"/>
        <w:gridCol w:w="1905"/>
        <w:gridCol w:w="1907"/>
      </w:tblGrid>
      <w:tr>
        <w:trPr>
          <w:tblHeader/>
        </w:trPr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情景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举措 A 降幅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举措 B 降幅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举措 C 降幅</w:t>
            </w:r>
          </w:p>
        </w:tc>
        <w:tc>
          <w:tcPr>
            <w:tcW w:type="dxa" w:w="19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治理后品质客诉率</w:t>
            </w:r>
          </w:p>
        </w:tc>
      </w:tr>
      <w:tr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悲观情景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30%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15%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15%</w:t>
            </w:r>
          </w:p>
        </w:tc>
        <w:tc>
          <w:tcPr>
            <w:tcW w:type="dxa" w:w="19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4.32%</w:t>
            </w:r>
          </w:p>
        </w:tc>
      </w:tr>
      <w:tr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中性情景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50%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30%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30%</w:t>
            </w:r>
          </w:p>
        </w:tc>
        <w:tc>
          <w:tcPr>
            <w:tcW w:type="dxa" w:w="19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3.82%</w:t>
            </w:r>
          </w:p>
        </w:tc>
      </w:tr>
      <w:tr>
        <w:tc>
          <w:tcPr>
            <w:tcW w:type="dxa" w:w="1404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乐观情景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70%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45%</w:t>
            </w:r>
          </w:p>
        </w:tc>
        <w:tc>
          <w:tcPr>
            <w:tcW w:type="dxa" w:w="1905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45%</w:t>
            </w:r>
          </w:p>
        </w:tc>
        <w:tc>
          <w:tcPr>
            <w:tcW w:type="dxa" w:w="190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3.34%</w:t>
            </w:r>
          </w:p>
        </w:tc>
      </w:tr>
    </w:tbl>
    <w:p>
      <w:pPr>
        <w:spacing w:after="160"/>
      </w:pPr>
    </w:p>
    <w:p>
      <w:pPr>
        <w:spacing w:after="60" w:before="120"/>
        <w:jc w:val="center"/>
      </w:pPr>
      <w:r>
        <w:drawing>
          <wp:inline distT="0" distB="0" distL="0" distR="0">
            <wp:extent cx="5400675" cy="2009775"/>
            <wp:effectExtent t="0" r="0" b="0" l="0"/>
            <wp:docPr id="1" name="fig12_scenarios.png" descr="图 11　治理测算：三组情景下的品质客诉率" title="图 11　治理测算：三组情景下的品质客诉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6E6872"/>
          <w:sz w:val="18"/>
          <w:szCs w:val="18"/>
        </w:rPr>
        <w:t xml:space="preserve">图 11　治理测算：三组情景下的品质客诉率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单因素敏感性（每次只改一项举措的降幅，其余取中性值）：举措 A 从悲观取到乐观，治理后品质客诉率相差 0.54pp，影响最大。测算基于规则识别的品质客诉订单；如果漏标在各类订单中分布相近，按真实值换算后降幅比例基本不变。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动作　</w:t>
      </w:r>
      <w:r>
        <w:rPr>
          <w:rFonts w:ascii="Arial" w:cs="Arial" w:eastAsia="Microsoft YaHei" w:hAnsi="Arial"/>
        </w:rPr>
        <w:t xml:space="preserve">上线后最先用试点验证举措 A 的真实降幅。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5.3 举措说明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关键术语　</w:t>
      </w:r>
      <w:r>
        <w:rPr>
          <w:rFonts w:ascii="Arial" w:cs="Arial" w:eastAsia="Microsoft YaHei" w:hAnsi="Arial"/>
        </w:rPr>
        <w:t xml:space="preserve">举措 A / B / C——分别作用于多件订单、高风险商家和需关注商家、一级类目 3C数码、钟表与潮流好物，与第 3 章的三处问题一一对应。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结论　</w:t>
      </w:r>
      <w:r>
        <w:rPr>
          <w:rFonts w:ascii="Arial" w:cs="Arial" w:eastAsia="Microsoft YaHei" w:hAnsi="Arial"/>
        </w:rPr>
        <w:t xml:space="preserve">三项举措分别落在仓配出库、商家管理、商品准入三个环节。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A：多件订单出库前称重或逐件扫码复核；必须分包裹时，在订单页和消息里告知"您的订单分 N 个包裹发出"；评价邀请延后到全部包裹签收之后。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B：高风险商家 30 天整改期（下架问题商品、补充商品信息、发货复核），复评仍为高风险商家则限流；需关注商家每周跟踪。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C：入驻时核验品牌授权；对假货客诉率高的商品抽检；商品详情必须包含型号、规格、实拍图，缺一项不允许上架（动销商品信息完整率目标 100%）。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动作　</w:t>
      </w:r>
      <w:r>
        <w:rPr>
          <w:rFonts w:ascii="Arial" w:cs="Arial" w:eastAsia="Microsoft YaHei" w:hAnsi="Arial"/>
        </w:rPr>
        <w:t xml:space="preserve">每项举措指定跟踪指标（见 5.1 表），在看板上每月复盘。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5.4 差异化抽检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关键术语　</w:t>
      </w:r>
      <w:r>
        <w:rPr>
          <w:rFonts w:ascii="Arial" w:cs="Arial" w:eastAsia="Microsoft YaHei" w:hAnsi="Arial"/>
        </w:rPr>
        <w:t xml:space="preserve">问题订单覆盖率——按风险分从高到低抽检一定比例的签收订单时，抽到的问题订单数 ÷ 全部问题订单数；入仓类问题订单 = 命中质量缺陷、货不对板或假货标签的品质客诉订单，出库类问题订单 = 命中少件漏发标签的品质客诉订单。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结论　</w:t>
      </w:r>
      <w:r>
        <w:rPr>
          <w:rFonts w:ascii="Arial" w:cs="Arial" w:eastAsia="Microsoft YaHei" w:hAnsi="Arial"/>
        </w:rPr>
        <w:t xml:space="preserve">出库只复核多件订单，就能覆盖 75.4% 的出库类问题订单；入仓抽检 10% 时，按商家 × 品类风险分抽检的覆盖率 15.7%，随机顺序 10.3%。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风险分用 2017-09 至 2018-02 的签收订单计算（商家风险分 = 主商家的平滑入仓类问题率；商家 × 品类风险分再乘以主品类的平滑入仓类问题率 ÷ 全部签收订单的入仓类问题率），在下单月 2018-03 至 2018-08 的 39,153 个签收订单上检验（样本外）。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2695575"/>
            <wp:effectExtent t="0" r="0" b="0" l="0"/>
            <wp:docPr id="1" name="fig10_sampling_gain.png" descr="图 12　增益曲线：横轴为抽检比例，纵轴为问题订单覆盖率（样本外检验）" title="图 12　增益曲线：横轴为抽检比例，纵轴为问题订单覆盖率（样本外检验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6E6872"/>
          <w:sz w:val="18"/>
          <w:szCs w:val="18"/>
        </w:rPr>
        <w:t xml:space="preserve">图 12　增益曲线：横轴为抽检比例，纵轴为问题订单覆盖率（样本外检验）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出库复核：多件订单占签收订单 10.0%，复核全部多件订单即可覆盖 75.4% 的出库类问题订单，少件漏发几乎被订单结构锁定。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入仓抽检：抽检比例 10% 时，商家 × 品类风险分 15.7% vs 随机顺序 10.3%（1.5 倍）；抽检比例 20% 时 30.2% vs 20.1%。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入仓抽检提升有限，是因为公开数据只有商家和品类两个特征；接入商家历史质检结果、品牌授权、商品信息完整度后，风险分会更准。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动作　</w:t>
      </w:r>
      <w:r>
        <w:rPr>
          <w:rFonts w:ascii="Arial" w:cs="Arial" w:eastAsia="Microsoft YaHei" w:hAnsi="Arial"/>
        </w:rPr>
        <w:t xml:space="preserve">入仓抽检按商家 × 品类风险分排序；接入商家历史质检结果后重新计算风险分。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5.5 效果评估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关键术语　</w:t>
      </w:r>
      <w:r>
        <w:rPr>
          <w:rFonts w:ascii="Arial" w:cs="Arial" w:eastAsia="Microsoft YaHei" w:hAnsi="Arial"/>
        </w:rPr>
        <w:t xml:space="preserve">双重差分——（试点组实施后 − 实施前）−（对照组同期的后 − 前），用来剔除同期的共同变化。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结论　</w:t>
      </w:r>
      <w:r>
        <w:rPr>
          <w:rFonts w:ascii="Arial" w:cs="Arial" w:eastAsia="Microsoft YaHei" w:hAnsi="Arial"/>
        </w:rPr>
        <w:t xml:space="preserve">举措 A、C 先在部分仓库或商家试点，用双重差分评估效果。</w:t>
      </w:r>
    </w:p>
    <w:p>
      <w:pPr>
        <w:spacing w:after="120" w:line="360"/>
      </w:pPr>
      <w:r>
        <w:rPr>
          <w:rFonts w:ascii="Arial" w:cs="Arial" w:eastAsia="Microsoft YaHei" w:hAnsi="Arial"/>
        </w:rPr>
        <w:t xml:space="preserve">试点观察 8 周；同时跟踪平均发货时长和发货超时率，防止复核拖慢发货。举措 B 要注意回落：被选为高风险商家的商家即使不干预，下期品质客诉率也可能回落（见 3.5），所以同样需要对照组。</w:t>
      </w:r>
    </w:p>
    <w:p>
      <w:pPr>
        <w:spacing w:after="120" w:line="360"/>
      </w:pPr>
      <w:r>
        <w:rPr>
          <w:rFonts w:ascii="Arial" w:cs="Arial" w:eastAsia="Microsoft YaHei" w:hAnsi="Arial"/>
          <w:b/>
          <w:bCs/>
          <w:color w:val="E1006C"/>
        </w:rPr>
        <w:t xml:space="preserve">动作　</w:t>
      </w:r>
      <w:r>
        <w:rPr>
          <w:rFonts w:ascii="Arial" w:cs="Arial" w:eastAsia="Microsoft YaHei" w:hAnsi="Arial"/>
        </w:rPr>
        <w:t xml:space="preserve">先在部分仓库试点举措 A，用试点组相对对照组的变化评估效果。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6. 局限与下一步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评价不等于客诉记录：标签精确率 97.4%、标签召回率 74.5%，品质客诉率的绝对值偏低；两年的标签召回率相近，趋势结论不受影响。接入客服记录与退货原因后可以交叉验证。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没有入仓质检、抽检数据：入仓质检合格率、问题商品拦截率、品质退货率的口径已在指标字典中定义，接入后可以把结果指标和过程指标连起来。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单一平台：品类结构、履约模式与其他平台不同；方法可以迁移，平滑参数（50 单）、预警规则需要用新数据重新校准。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最近月份的订单还有一部分没有签收或评价，最近 1-2 个月的数字会被后续评价修正，周报中需要标注。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Microsoft YaHei" w:hAnsi="Arial"/>
        </w:rPr>
        <w:t xml:space="preserve">外部参考数据（监管抽查结果、穿戴类 GMV 占比）取自公告、新闻转载与财报报道，引用前应核对原文。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附录：项目文件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5817"/>
      </w:tblGrid>
      <w:tr>
        <w:trPr>
          <w:tblHeader/>
        </w:trP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581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161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</w:tr>
      <w:t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术语与口径</w:t>
            </w:r>
          </w:p>
        </w:tc>
        <w:tc>
          <w:tcPr>
            <w:tcW w:type="dxa" w:w="581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docs/00_术语与口径.md</w:t>
            </w:r>
          </w:p>
        </w:tc>
      </w:tr>
      <w:t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指标体系与指标字典</w:t>
            </w:r>
          </w:p>
        </w:tc>
        <w:tc>
          <w:tcPr>
            <w:tcW w:type="dxa" w:w="581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docs/02_指标体系.md、docs/品控指标字典.xlsx</w:t>
            </w:r>
          </w:p>
        </w:tc>
      </w:tr>
      <w:t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交互看板与 BI 搭建指南</w:t>
            </w:r>
          </w:p>
        </w:tc>
        <w:tc>
          <w:tcPr>
            <w:tcW w:type="dxa" w:w="581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dashboard/index.html、docs/04_BI看板设计与搭建指南.md</w:t>
            </w:r>
          </w:p>
        </w:tc>
      </w:tr>
      <w:t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SQL 取数题库（19 题）</w:t>
            </w:r>
          </w:p>
        </w:tc>
        <w:tc>
          <w:tcPr>
            <w:tcW w:type="dxa" w:w="581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docs/05_SQL面试题库.md、sql/interview/</w:t>
            </w:r>
          </w:p>
        </w:tc>
      </w:tr>
      <w:t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数仓 SQL</w:t>
            </w:r>
          </w:p>
        </w:tc>
        <w:tc>
          <w:tcPr>
            <w:tcW w:type="dxa" w:w="581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sql/01_ods_ddl.sql 至 sql/06_ads.sql</w:t>
            </w:r>
          </w:p>
        </w:tc>
      </w:tr>
      <w:t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分析明细表</w:t>
            </w:r>
          </w:p>
        </w:tc>
        <w:tc>
          <w:tcPr>
            <w:tcW w:type="dxa" w:w="581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outputs/analysis_tables.xlsx、outputs/advanced_tables.xlsx</w:t>
            </w:r>
          </w:p>
        </w:tc>
      </w:tr>
      <w:t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数据校验报告、标注样本（含中文释义）</w:t>
            </w:r>
          </w:p>
        </w:tc>
        <w:tc>
          <w:tcPr>
            <w:tcW w:type="dxa" w:w="581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outputs/qa/</w:t>
            </w:r>
          </w:p>
        </w:tc>
      </w:tr>
      <w:t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商家品质月报模板（Excel 公式 + 数据透视表）</w:t>
            </w:r>
          </w:p>
        </w:tc>
        <w:tc>
          <w:tcPr>
            <w:tcW w:type="dxa" w:w="581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docs/商家品质月报模板.xlsx</w:t>
            </w:r>
          </w:p>
        </w:tc>
      </w:tr>
      <w:t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面试讲稿</w:t>
            </w:r>
          </w:p>
        </w:tc>
        <w:tc>
          <w:tcPr>
            <w:tcW w:type="dxa" w:w="581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docs/10_面试讲稿.md</w:t>
            </w:r>
          </w:p>
        </w:tc>
      </w:tr>
      <w:tr>
        <w:tc>
          <w:tcPr>
            <w:tcW w:type="dxa" w:w="3209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外部参考数据</w:t>
            </w:r>
          </w:p>
        </w:tc>
        <w:tc>
          <w:tcPr>
            <w:tcW w:type="dxa" w:w="5817"/>
            <w:tcBorders>
              <w:top w:val="single" w:color="E9E6EA" w:sz="4"/>
              <w:left w:val="single" w:color="E9E6EA" w:sz="4"/>
              <w:bottom w:val="single" w:color="E9E6EA" w:sz="4"/>
              <w:right w:val="single" w:color="E9E6E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 w:val="false"/>
                <w:bCs w:val="false"/>
                <w:color w:val="161418"/>
                <w:sz w:val="19"/>
                <w:szCs w:val="19"/>
              </w:rPr>
              <w:t xml:space="preserve">data/external/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Microsoft YaHei" w:hAnsi="Arial"/>
        <w:color w:val="6E6872"/>
        <w:sz w:val="16"/>
        <w:szCs w:val="16"/>
      </w:rPr>
      <w:t xml:space="preserve">电商品控专题分析报告　</w:t>
    </w:r>
    <w:r>
      <w:rPr>
        <w:rFonts w:ascii="Arial" w:cs="Arial" w:eastAsia="Microsoft YaHei" w:hAnsi="Arial"/>
        <w:color w:val="6E68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E1006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614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YaHei" w:hAnsi="Arial"/>
      <w:b/>
      <w:bCs/>
      <w:color w:val="E1006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Microsoft YaHei" w:hAnsi="Arial"/>
      <w:b/>
      <w:bCs/>
      <w:color w:val="1614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7b2d00e1fd54435ccb5b9c1d054e68d2b0570db.png"/><Relationship Id="rId9" Type="http://schemas.openxmlformats.org/officeDocument/2006/relationships/image" Target="media/ba87c114faaae564ea1b10eb18c37e4f7d79b678.png"/><Relationship Id="rId10" Type="http://schemas.openxmlformats.org/officeDocument/2006/relationships/image" Target="media/f2e5241bfe369c90d5b35dd8b97aa7910decc4db.png"/><Relationship Id="rId11" Type="http://schemas.openxmlformats.org/officeDocument/2006/relationships/image" Target="media/e1343c069ed67430f65ddb10d050541994ac50bc.png"/><Relationship Id="rId12" Type="http://schemas.openxmlformats.org/officeDocument/2006/relationships/image" Target="media/9bb62e61b5ec70dc514e3109d34a40d9985de55e.png"/><Relationship Id="rId13" Type="http://schemas.openxmlformats.org/officeDocument/2006/relationships/image" Target="media/294afc026ec5d8fb63916d7c20ef09e5ff4dd676.png"/><Relationship Id="rId14" Type="http://schemas.openxmlformats.org/officeDocument/2006/relationships/image" Target="media/542fb7f9ae5d568cb6f4123ff0c2eb34858f0590.png"/><Relationship Id="rId15" Type="http://schemas.openxmlformats.org/officeDocument/2006/relationships/image" Target="media/c093f73de4edf46557f5fb64693f0ab7916da3eb.png"/><Relationship Id="rId16" Type="http://schemas.openxmlformats.org/officeDocument/2006/relationships/image" Target="media/627edc2a764c613f792f93f4f95fc84ad128f039.png"/><Relationship Id="rId17" Type="http://schemas.openxmlformats.org/officeDocument/2006/relationships/image" Target="media/5248fd80338cb41fe6d3f8806f52c3f956befd51.png"/><Relationship Id="rId18" Type="http://schemas.openxmlformats.org/officeDocument/2006/relationships/image" Target="media/fc1ef5d4e440d037008ffe2b77998a8e9476ef6d.png"/><Relationship Id="rId19" Type="http://schemas.openxmlformats.org/officeDocument/2006/relationships/image" Target="media/bf4689c418c20135374e1971b7ee673067c04ca8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差评率在下降，品质客诉率在上升</dc:title>
  <dc:creator>品控数据分析项目</dc:creator>
  <cp:lastModifiedBy>Un-named</cp:lastModifiedBy>
  <cp:revision>1</cp:revision>
  <dcterms:created xsi:type="dcterms:W3CDTF">2026-09-27T03:47:13.797Z</dcterms:created>
  <dcterms:modified xsi:type="dcterms:W3CDTF">2026-09-27T03:47:13.797Z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