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建筑采光多目标优化平台 入门指南</w:t>
      </w:r>
    </w:p>
    <w:p>
      <w:pPr>
        <w:spacing w:after="200"/>
      </w:pPr>
      <w:r>
        <w:t>使用可复现合成数据完成从导入、模型训练到结果导出的完整流程。</w:t>
      </w:r>
    </w:p>
    <w:p>
      <w:pPr>
        <w:spacing w:after="200"/>
      </w:pPr>
      <w:r>
        <w:t>本指南对应 v0.3.0 桌面源码界面。所示分数和优化候选仅用于演示软件操作，不是 Radiance、EnergyPlus、Ladybug Tools 或实测的物理验证结果。</w:t>
      </w:r>
    </w:p>
    <w:p>
      <w:pPr>
        <w:spacing w:after="140"/>
      </w:pPr>
      <w:r>
        <w:t>界面源码版本：v0.3.0 / 源码指纹 dcb92d3fde17。完整 SHA-256 指纹记录在结果 JSON；本次没有验证更新后的 Windows 安装包。</w:t>
      </w:r>
    </w:p>
    <w:p>
      <w:pPr>
        <w:spacing w:after="200"/>
      </w:pPr>
      <w:r>
        <w:t>操作顺序：数据与列定义 → 逐目标独立建模 → NSGA-II 优化 → 结果分析与导出 → 偏好决策 → 外部结果。截图来自同一次 Linux 离屏 Qt 自动化运行；文件选择器由测试路径代选，科学计算、后台任务、图表、导出、项目重开和本地偏好应用均执行应用实际路径。两轮 DeepSeek 响应由本地替代传输模拟，未访问在线 API。</w:t>
      </w:r>
    </w:p>
    <w:p>
      <w:pPr>
        <w:pStyle w:val="Heading1"/>
        <w:spacing w:after="120"/>
      </w:pPr>
      <w:r>
        <w:t>开始前准备</w:t>
      </w:r>
    </w:p>
    <w:p>
      <w:pPr>
        <w:spacing w:after="140"/>
      </w:pPr>
      <w:r>
        <w:t>使用项目 README 的安装方法启动源码，或在 Windows 版本可用时从完整分发目录启动 DaylightWorkbench.exe；不要只复制单个 EXE。本文操作使用 demo/manual-synthetic.csv：固定种子 20261020，240 行、10 个输入、3 个目标。</w:t>
      </w:r>
    </w:p>
    <w:p>
      <w:pPr>
        <w:spacing w:after="180"/>
      </w:pPr>
      <w:r>
        <w:t>当前 Windows 打包验收与下述 v0.3.0 源码截图不是同一次验证。离屏 Linux 也没有可用的 WebGL，因此下文只展示已实际运行的二维和平行坐标回退，不将三维标为通过。</w:t>
      </w:r>
    </w:p>
    <w:p>
      <w:pPr>
        <w:pStyle w:val="Heading1"/>
        <w:spacing w:after="120"/>
      </w:pPr>
      <w:r>
        <w:t>本次运行的可核对结果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24"/>
        <w:gridCol w:w="6912"/>
      </w:tblGrid>
      <w:tr>
        <w:tc>
          <w:tcPr>
            <w:tcW w:type="dxa" w:w="5054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项目</w:t>
            </w:r>
          </w:p>
        </w:tc>
        <w:tc>
          <w:tcPr>
            <w:tcW w:type="dxa" w:w="5054"/>
            <w:vAlign w:val="center"/>
            <w:shd w:fill="EDF1F4"/>
          </w:tcPr>
          <w:p>
            <w:pPr>
              <w:pStyle w:val="TableText"/>
              <w:spacing w:after="0"/>
            </w:pPr>
            <w:r>
              <w:rPr>
                <w:b/>
              </w:rPr>
              <w:t>本次实测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数据拆分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训练 168 / 验证 36 / 测试 36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逐目标严格搜索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3 目标 × 3 候选 × 5 折 + 3 重拟合，预算 48/50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逐目标选优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daylight ANN；glare ANN；energy ANN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NSGA-II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256 次评估，256 个候选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手动筛选与导出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102 行；导出 ID 9, 13</w:t>
            </w:r>
          </w:p>
        </w:tc>
      </w:tr>
      <w:tr>
        <w:tc>
          <w:tcPr>
            <w:tcW w:type="dxa" w:w="3024"/>
            <w:vAlign w:val="center"/>
          </w:tcPr>
          <w:p>
            <w:pPr>
              <w:pStyle w:val="TableText"/>
              <w:spacing w:after="0"/>
            </w:pPr>
            <w:r>
              <w:t>偏好决策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  <w:spacing w:after="0"/>
            </w:pPr>
            <w:r>
              <w:t>本地模拟 2 轮建议；均经人工审核后显式应用，在线 API 未调用</w:t>
            </w:r>
          </w:p>
        </w:tc>
      </w:tr>
    </w:tbl>
    <w:p>
      <w:pPr>
        <w:pStyle w:val="Heading1"/>
        <w:pageBreakBefore/>
        <w:spacing w:after="200"/>
      </w:pPr>
      <w:r>
        <w:t>步骤 01 导入合成 CSV</w:t>
      </w:r>
    </w:p>
    <w:p>
      <w:pPr>
        <w:spacing w:after="200"/>
      </w:pPr>
      <w:r>
        <w:t>操作：点击“导入 CSV / XLSX”，选择 demo/manual-synthetic.csv。检查：出现 240 行、13 列；文件名包含 synthetic。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mport-cs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01  点击“导入 CSV / XLSX”，选择明确标注为合成的 CSV。</w:t>
      </w:r>
    </w:p>
    <w:p>
      <w:pPr>
        <w:pStyle w:val="Heading1"/>
        <w:pageBreakBefore/>
        <w:spacing w:after="200"/>
      </w:pPr>
      <w:r>
        <w:t>步骤 02 明确输入目标与方向</w:t>
      </w:r>
    </w:p>
    <w:p>
      <w:pPr>
        <w:spacing w:after="200"/>
      </w:pPr>
      <w:r>
        <w:t>操作：将前 10 列设为“自变量 X”，后三列设为“目标 Y”；采光分数最大化，眩光与能耗分数最小化。检查：每个目标均有方向，不靠列名猜测物理含义。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ssign-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  前 10 列设为自变量 X，后 3 列设为目标 Y；依次选择最大、最小、最小。</w:t>
      </w:r>
    </w:p>
    <w:p>
      <w:pPr>
        <w:pStyle w:val="Heading1"/>
        <w:pageBreakBefore/>
        <w:spacing w:after="200"/>
      </w:pPr>
      <w:r>
        <w:t>步骤 03 校验数据与划分</w:t>
      </w:r>
    </w:p>
    <w:p>
      <w:pPr>
        <w:spacing w:after="200"/>
      </w:pPr>
      <w:r>
        <w:t>操作：点击“校验数据与划分”。检查：本次有效 240 行，训练 168、验证 36、测试 36 行；重复输入和同组样本不跨集。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lidate-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03  点击“校验数据与划分”，确认有效行数与训练、验证、测试拆分。</w:t>
      </w:r>
    </w:p>
    <w:p>
      <w:pPr>
        <w:pStyle w:val="Heading1"/>
        <w:pageBreakBefore/>
        <w:spacing w:after="200"/>
      </w:pPr>
      <w:r>
        <w:t>步骤 04 设置逐目标 ANN</w:t>
      </w:r>
    </w:p>
    <w:p>
      <w:pPr>
        <w:spacing w:after="200"/>
      </w:pPr>
      <w:r>
        <w:t>操作：切到“模型与训练”，保留默认逐目标独立模式，设置 64 ReLU、32 Tanh 两个隐藏层；最多 180 轮，早停耐心 24，学习率 0.003，批量 32。检查：每个目标训练一套独立标量模型，而非固定共享三输出网络。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nn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04  保持默认逐目标独立模式；在 ANN 结构与参数中设两层 64 ReLU、32 Tanh；最多 180 轮、耐心 24、学习率 0.003、批量 32。</w:t>
      </w:r>
    </w:p>
    <w:p>
      <w:pPr>
        <w:pStyle w:val="Heading1"/>
        <w:pageBreakBefore/>
        <w:spacing w:after="200"/>
      </w:pPr>
      <w:r>
        <w:t>步骤 05 观察单次 ANN 实时训练</w:t>
      </w:r>
    </w:p>
    <w:p>
      <w:pPr>
        <w:spacing w:after="200"/>
      </w:pPr>
      <w:r>
        <w:t>操作：点击“单次 ANN（快速）”。检查：轮次和真实训练、验证损失随后台任务更新。本次截图发生在第 18 轮，任务仍在运行。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n-live-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05  点击“单次 ANN（快速）”；训练中查看实时轮次与真实训练、验证损失。</w:t>
      </w:r>
    </w:p>
    <w:p>
      <w:pPr>
        <w:pStyle w:val="Heading1"/>
        <w:pageBreakBefore/>
        <w:spacing w:after="200"/>
      </w:pPr>
      <w:r>
        <w:t>步骤 06 检查逐目标 ANN 指标</w:t>
      </w:r>
    </w:p>
    <w:p>
      <w:pPr>
        <w:spacing w:after="200"/>
      </w:pPr>
      <w:r>
        <w:t>操作：训练结束后打开“指标 / 实时曲线”，用目标选择框切换诊断。检查：三套独立 ANN 的测试 MAE、MSE、R² 及各自真实训练记录。此为固定划分快速运行，不与后面的交叉验证排名混同。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n-test-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06  训练完成后，在“指标 / 实时曲线”查看三个独立 ANN 的逐目标测试误差；目标选择框切换对应模型记录。</w:t>
      </w:r>
    </w:p>
    <w:p>
      <w:pPr>
        <w:pStyle w:val="Heading1"/>
        <w:pageBreakBefore/>
        <w:spacing w:after="200"/>
      </w:pPr>
      <w:r>
        <w:t>步骤 07 配置逐目标模型比较</w:t>
      </w:r>
    </w:p>
    <w:p>
      <w:pPr>
        <w:spacing w:after="200"/>
      </w:pPr>
      <w:r>
        <w:t>操作：在“模型选择 / 网格 / CV”确认默认“逐目标独立建模”，勾选比较 ANN、RF 与 XGBoost，严格模式保留 5 折。设 ANN 学习率 0.003、批量 32；RF 40 棵树、深度 8；XGBoost 30 轮、深度 3、学习率 0.1。共享多输出仅是可选兼容模式。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v-grid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07  确认默认“逐目标独立建模”，勾选跨模型比较，保留严格模式 5 折 CV，设置有上限的 ANN、RF、XGBoost 候选。</w:t>
      </w:r>
    </w:p>
    <w:p>
      <w:pPr>
        <w:pStyle w:val="Heading1"/>
        <w:pageBreakBefore/>
        <w:spacing w:after="200"/>
      </w:pPr>
      <w:r>
        <w:t>步骤 08 预览预算后开始验证</w:t>
      </w:r>
    </w:p>
    <w:p>
      <w:pPr>
        <w:spacing w:after="200"/>
      </w:pPr>
      <w:r>
        <w:t>操作：先点击“预览候选与拟合预算”，再点击“开始网格验证 / 模型比较”。检查：3 目标 × 3 候选 × 5 折，再加 3 次开发集重拟合，实际拟合预算 48/50；锁定测试 36 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v-budget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  点击“预览候选与拟合预算”；确认 3 目标 × 3 候选 × 5 折 + 3 次重拟合、预算和锁定测试行数后启动。</w:t>
      </w:r>
    </w:p>
    <w:p>
      <w:pPr>
        <w:pStyle w:val="Heading1"/>
        <w:pageBreakBefore/>
        <w:spacing w:after="200"/>
      </w:pPr>
      <w:r>
        <w:t>步骤 09 检查逐目标选优与测试</w:t>
      </w:r>
    </w:p>
    <w:p>
      <w:pPr>
        <w:spacing w:after="200"/>
      </w:pPr>
      <w:r>
        <w:t>操作：展开逐目标候选排名，切换目标诊断并查看测试指标。本次各目标胜出模型：synthetic_daylight_score → ANN；synthetic_glare_score → ANN；synthetic_energy_score → ANN。即使模型族相同，也是按各自验证分数独立选出的。仅重拟合开发集 204 行后，才评估锁定的 36 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v-model-se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09  在“指标 / 实时曲线”查看各目标分别验证选优的候选排名，及最终独立测试集逐目标指标。</w:t>
      </w:r>
    </w:p>
    <w:p>
      <w:pPr>
        <w:spacing w:after="80"/>
      </w:pPr>
      <w:r>
        <w:t>测试集只用于所选模型的最终报告，不参与候选排名或早停。</w:t>
      </w:r>
    </w:p>
    <w:p>
      <w:pPr>
        <w:spacing w:after="80"/>
      </w:pPr>
      <w:r>
        <w:t>独立测试集逐目标指标（原分数单位）：daylight：MAE 1.472，MSE 4.394，R² 0.979；glare：MAE 0.767，MSE 1.162，R² 0.979；energy：MAE 0.713，MSE 0.834，R² 0.986。</w:t>
      </w:r>
    </w:p>
    <w:p>
      <w:pPr>
        <w:pStyle w:val="Heading1"/>
        <w:pageBreakBefore/>
        <w:spacing w:after="200"/>
      </w:pPr>
      <w:r>
        <w:t>步骤 10 确认变量搜索边界</w:t>
      </w:r>
    </w:p>
    <w:p>
      <w:pPr>
        <w:spacing w:after="200"/>
      </w:pPr>
      <w:r>
        <w:t>操作：在 NSGA-II 页逐列检查训练观测范围、可编辑上下限和三项目标方向；明确将 floor_level 设为整数。设置种群 32、代数 8、种子 42。边界盒本身不保证物理可行性。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pt-bou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检查 10 个变量的训练观测范围与搜索边界；将 floor_level 明确设为整数，并设置 NSGA-II 种群 32、代数 8。</w:t>
      </w:r>
    </w:p>
    <w:p>
      <w:pPr>
        <w:pStyle w:val="Heading1"/>
        <w:pageBreakBefore/>
        <w:spacing w:after="200"/>
      </w:pPr>
      <w:r>
        <w:t>步骤 11 观察 NSGA-II 实时前沿</w:t>
      </w:r>
    </w:p>
    <w:p>
      <w:pPr>
        <w:spacing w:after="200"/>
      </w:pPr>
      <w:r>
        <w:t>操作：点击“运行 NSGA-II（仅代理预测）”。检查：后台任务期间显示实时代数、评估数与预测前沿；本次截图在第 8 代。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sga-l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点击“运行 NSGA-II（仅代理预测）”，查看实时代数、评估次数及预测前沿。</w:t>
      </w:r>
    </w:p>
    <w:p>
      <w:pPr>
        <w:pStyle w:val="Heading1"/>
        <w:pageBreakBefore/>
        <w:spacing w:after="200"/>
      </w:pPr>
      <w:r>
        <w:t>步骤 12 确认优化完成</w:t>
      </w:r>
    </w:p>
    <w:p>
      <w:pPr>
        <w:spacing w:after="200"/>
      </w:pPr>
      <w:r>
        <w:t>检查：本次实际评估 256 个候选。它们全是代理模型给出的预测值，尚未经过 Radiance、EnergyPlus 或实测验证。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sga-comp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任务完成后核对实际评估数；优化候选仍只是代理模型预测。</w:t>
      </w:r>
    </w:p>
    <w:p>
      <w:pPr>
        <w:spacing w:after="80"/>
      </w:pPr>
      <w:r>
        <w:t>搜索边界内的“最优”只针对代理模型目标与本次定义的方向。</w:t>
      </w:r>
    </w:p>
    <w:p>
      <w:pPr>
        <w:pStyle w:val="Heading1"/>
        <w:pageBreakBefore/>
        <w:spacing w:after="200"/>
      </w:pPr>
      <w:r>
        <w:t>步骤 13 浏览二维与平行坐标</w:t>
      </w:r>
    </w:p>
    <w:p>
      <w:pPr>
        <w:spacing w:after="200"/>
      </w:pPr>
      <w:r>
        <w:t>操作：在结果页切换到“全部候选 / 外部数据行”。检查：本次 256 个候选显示在目标二维散点和平行坐标中，13 个坐标维度含 3 项目标和 10 项输入。Linux 离屏环境未验证 WebGL 三维视图。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切到“结果分析与导出”，选择“全部候选”，查看二维目标空间与 13 轴平行坐标。</w:t>
      </w:r>
    </w:p>
    <w:p>
      <w:pPr>
        <w:pStyle w:val="Heading1"/>
        <w:pageBreakBefore/>
        <w:spacing w:after="200"/>
      </w:pPr>
      <w:r>
        <w:t>步骤 14 用候选 ID 联动选择</w:t>
      </w:r>
    </w:p>
    <w:p>
      <w:pPr>
        <w:spacing w:after="200"/>
      </w:pPr>
      <w:r>
        <w:t>操作：显示表格，在图中选 3 个方案，再按候选 ID 排序表格。检查：图表与表格仍指向同一组 ID 1, 129, 256，不按旧行号错配。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nked-sele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显示表格，在图中选 3 个稳定候选 ID；表格排序后选择仍与图同步。</w:t>
      </w:r>
    </w:p>
    <w:p>
      <w:pPr>
        <w:spacing w:after="80"/>
      </w:pPr>
      <w:r>
        <w:t>排序或筛选后的联动以 candidate_id 为准。</w:t>
      </w:r>
    </w:p>
    <w:p>
      <w:pPr>
        <w:pStyle w:val="Heading1"/>
        <w:pageBreakBefore/>
        <w:spacing w:after="200"/>
      </w:pPr>
      <w:r>
        <w:t>步骤 15 查看目标两两关系</w:t>
      </w:r>
    </w:p>
    <w:p>
      <w:pPr>
        <w:spacing w:after="200"/>
      </w:pPr>
      <w:r>
        <w:t>操作：在交互分析中切换“目标矩阵”。检查：目标两两散点维持相同的已选候选高亮。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objective-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切换目标两两散点矩阵，检查已选方案的关联高亮。</w:t>
      </w:r>
    </w:p>
    <w:p>
      <w:pPr>
        <w:pStyle w:val="Heading1"/>
        <w:pageBreakBefore/>
        <w:spacing w:after="200"/>
      </w:pPr>
      <w:r>
        <w:t>步骤 16 查看指标分布</w:t>
      </w:r>
    </w:p>
    <w:p>
      <w:pPr>
        <w:spacing w:after="200"/>
      </w:pPr>
      <w:r>
        <w:t>操作：切换“分布”视图。检查：已选方案叠加在各目标的候选分布中。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objective-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切换各目标分布，查看已选方案所处位置。</w:t>
      </w:r>
    </w:p>
    <w:p>
      <w:pPr>
        <w:pStyle w:val="Heading1"/>
        <w:pageBreakBefore/>
        <w:spacing w:after="200"/>
      </w:pPr>
      <w:r>
        <w:t>步骤 17 对照已选方案</w:t>
      </w:r>
    </w:p>
    <w:p>
      <w:pPr>
        <w:spacing w:after="200"/>
      </w:pPr>
      <w:r>
        <w:t>操作：切换“对比”视图。检查：按原始分数单位对照所选方案，不把多个目标压成未解释的综合分数。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elected-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  切换已选方案比较，以原始单位对照三项目标。</w:t>
      </w:r>
    </w:p>
    <w:p>
      <w:pPr>
        <w:pStyle w:val="Heading1"/>
        <w:pageBreakBefore/>
        <w:spacing w:after="200"/>
      </w:pPr>
      <w:r>
        <w:t>步骤 18 阅读相关性热图</w:t>
      </w:r>
    </w:p>
    <w:p>
      <w:pPr>
        <w:spacing w:after="200"/>
      </w:pPr>
      <w:r>
        <w:t>操作：切换“相关性”视图。检查：这是当前候选输入与目标的相关关系；候选有选择偏差，不得把相关性解释为因果。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input-target-correl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切换输入与目标相关性热图；只作相关描述，不推断因果。</w:t>
      </w:r>
    </w:p>
    <w:p>
      <w:pPr>
        <w:pStyle w:val="Heading1"/>
        <w:pageBreakBefore/>
        <w:spacing w:after="200"/>
      </w:pPr>
      <w:r>
        <w:t>步骤 19 填写手动区间条件</w:t>
      </w:r>
    </w:p>
    <w:p>
      <w:pPr>
        <w:spacing w:after="200"/>
      </w:pPr>
      <w:r>
        <w:t>操作：展开“区间筛选”，在预测采光分数下限输入 41.927。其他上下限留空。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anual-filter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  展开“区间筛选”，在预测采光分数下限输入演示阈值；留空的边界不限制。</w:t>
      </w:r>
    </w:p>
    <w:p>
      <w:pPr>
        <w:pStyle w:val="Heading1"/>
        <w:pageBreakBefore/>
        <w:spacing w:after="200"/>
      </w:pPr>
      <w:r>
        <w:t>步骤 20 应用筛选并核对行数</w:t>
      </w:r>
    </w:p>
    <w:p>
      <w:pPr>
        <w:spacing w:after="200"/>
      </w:pPr>
      <w:r>
        <w:t>操作：点击“应用筛选”。检查：当前视图为 102 行，低于 256 行；筛选不改写预测值，也不重新定义全表的 Pareto 标记。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anual-filter-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  点击“应用筛选”，确认当前行数减少且数值与 Pareto 原标记未被改写。</w:t>
      </w:r>
    </w:p>
    <w:p>
      <w:pPr>
        <w:spacing w:after="80"/>
      </w:pPr>
      <w:r>
        <w:t>如需恢复完整结果，可清空条件后重新应用。</w:t>
      </w:r>
    </w:p>
    <w:p>
      <w:pPr>
        <w:pStyle w:val="Heading1"/>
        <w:pageBreakBefore/>
        <w:spacing w:after="200"/>
      </w:pPr>
      <w:r>
        <w:t>步骤 21 导出并核对选择</w:t>
      </w:r>
    </w:p>
    <w:p>
      <w:pPr>
        <w:spacing w:after="200"/>
      </w:pPr>
      <w:r>
        <w:t>操作：选定候选 ID 9, 13，点击“导出已选方案”。检查：CSV 与来源 JSON 一同生成；本次自动化逐列比对导出与原候选数值，并核对 ID 和 SHA-256。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xport-selec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  点击“导出已选方案”，生成 CSV 与来源 JSON；按候选 ID 和各数值列逐项核对导出。</w:t>
      </w:r>
    </w:p>
    <w:p>
      <w:pPr>
        <w:spacing w:after="80"/>
      </w:pPr>
      <w:r>
        <w:t>导出的来源 JSON 可用于核对数据与筛选来源，不等于物理有效性认证。</w:t>
      </w:r>
    </w:p>
    <w:p>
      <w:pPr>
        <w:pStyle w:val="Heading1"/>
        <w:pageBreakBefore/>
        <w:spacing w:after="200"/>
      </w:pPr>
      <w:r>
        <w:t>步骤 22 保存 v3 项目</w:t>
      </w:r>
    </w:p>
    <w:p>
      <w:pPr>
        <w:spacing w:after="200"/>
      </w:pPr>
      <w:r>
        <w:t>操作：点击顶端“保存项目”，生成 .dwb。检查：状态栏显示已保存；v3 保存每个目标的独立模型、严格搜索来源与候选。项目未加密，不向不可信对象分享敏感数据。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ject-sav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  点击顶端“保存项目”，将模型、划分和优化结果保存为 .dwb；项目文件未加密。</w:t>
      </w:r>
    </w:p>
    <w:p>
      <w:pPr>
        <w:pStyle w:val="Heading1"/>
        <w:pageBreakBefore/>
        <w:spacing w:after="200"/>
      </w:pPr>
      <w:r>
        <w:t>步骤 23 重开 v3 项目</w:t>
      </w:r>
    </w:p>
    <w:p>
      <w:pPr>
        <w:spacing w:after="200"/>
      </w:pPr>
      <w:r>
        <w:t>操作：点击“打开项目”选择刚保存的可信 .dwb。检查：逐目标胜出模型与候选配置、优化候选、102 行筛选结果及两个已选 ID 恢复；二维散点和图表计数均重新高亮。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oject-reopen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  重开 .dwb 后核对模型、102 行筛选结果与已选 ID；二维散点和图表计数恢复 2 个高亮。</w:t>
      </w:r>
    </w:p>
    <w:p>
      <w:pPr>
        <w:spacing w:after="80"/>
      </w:pPr>
      <w:r>
        <w:t>仅打开可信来源的 .dwb；项目内容未加密。</w:t>
      </w:r>
    </w:p>
    <w:p>
      <w:pPr>
        <w:pStyle w:val="Heading1"/>
        <w:pageBreakBefore/>
        <w:spacing w:after="200"/>
      </w:pPr>
      <w:r>
        <w:t>步骤 24 确认决策目标映射</w:t>
      </w:r>
    </w:p>
    <w:p>
      <w:pPr>
        <w:spacing w:after="200"/>
      </w:pPr>
      <w:r>
        <w:t>操作：切到“偏好决策 / DeepSeek”，按本合成数据定义确认三个目标的中文含义、优化方向和别名；单位留空，不从列名推断物理单位。点击“确认这些目标含义和方向”。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decision-confirm-mapp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24  进入第五页，按合成数据定义确认采光最大化、眩光和能耗最小化，并手动确认中文别名与未知单位。</w:t>
      </w:r>
    </w:p>
    <w:p>
      <w:pPr>
        <w:pStyle w:val="Heading1"/>
        <w:pageBreakBefore/>
        <w:spacing w:after="200"/>
      </w:pPr>
      <w:r>
        <w:t>步骤 25 预览采光倾向请求</w:t>
      </w:r>
    </w:p>
    <w:p>
      <w:pPr>
        <w:spacing w:after="200"/>
      </w:pPr>
      <w:r>
        <w:t>操作：输入“帮我选更考虑采光的”，点击“预览发送内容”，检查 api.deepseek.com 的完整请求正文。真实使用时还需自行设置合法 API Key，发送可能产生费用。本次没有真实密钥，也不访问网络。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daylight-outbound-pre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25  输入“帮我选更考虑采光的”，点击“预览发送内容”；本次只检查传出正文，不使用真实密钥。</w:t>
      </w:r>
    </w:p>
    <w:p>
      <w:pPr>
        <w:pStyle w:val="Heading1"/>
        <w:pageBreakBefore/>
        <w:spacing w:after="200"/>
      </w:pPr>
      <w:r>
        <w:t>步骤 26 审核采光模拟建议</w:t>
      </w:r>
    </w:p>
    <w:p>
      <w:pPr>
        <w:spacing w:after="200"/>
      </w:pPr>
      <w:r>
        <w:t>测试说明：本页采用本地替代传输，模拟返回采光 60%、眩光 20%、能耗 20% 的结构化建议。真实使用需点击“发送”并审阅提供商返回内容。这里展示的是未应用建议，不声称 DeepSeek 在线验证成功。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aylight-mock-propos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  本地模拟结构化响应：审核采光 60%、眩光 20%、能耗 20%；此时尚未应用，未联网。</w:t>
      </w:r>
    </w:p>
    <w:p>
      <w:pPr>
        <w:spacing w:after="80"/>
      </w:pPr>
      <w:r>
        <w:t>本图虽显示应用接收建议的界面，但建议来自测试脚本中的本地替代传输，不是在线 DeepSeek 返回。</w:t>
      </w:r>
    </w:p>
    <w:p>
      <w:pPr>
        <w:pStyle w:val="Heading1"/>
        <w:pageBreakBefore/>
        <w:spacing w:after="200"/>
      </w:pPr>
      <w:r>
        <w:t>步骤 27 显式应用采光权重</w:t>
      </w:r>
    </w:p>
    <w:p>
      <w:pPr>
        <w:spacing w:after="200"/>
      </w:pPr>
      <w:r>
        <w:t>操作：审核权重、范围、约束与固定全候选归一化后，点击“应用审核后的偏好并联动选择”。检查：右侧以本地计算的无量纲偏好损失列出现有候选，不新造预测值，也不宣称唯一物理最优。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aylight-appli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27  点击“应用审核后的偏好并联动选择”后，本地计算排名；核对候选 ID、损失和原始三目标值。</w:t>
      </w:r>
    </w:p>
    <w:p>
      <w:pPr>
        <w:pStyle w:val="Heading1"/>
        <w:pageBreakBefore/>
        <w:spacing w:after="200"/>
      </w:pPr>
      <w:r>
        <w:t>步骤 28 查看偏好联动图</w:t>
      </w:r>
    </w:p>
    <w:p>
      <w:pPr>
        <w:spacing w:after="200"/>
      </w:pPr>
      <w:r>
        <w:t>操作：打开“交互图表”。检查：完整候选背景仍可见，推荐候选以原始稳定 ID 联动结果页的二维散点和平行坐标。当前 Linux 离屏环境只验证二维回退，未验证 WebGL 三维。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cision-linked-plo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28  在第五页“交互图表”查看完整候选二维散点与平行坐标；推荐 ID 与结果页联动。</w:t>
      </w:r>
    </w:p>
    <w:p>
      <w:pPr>
        <w:pStyle w:val="Heading1"/>
        <w:pageBreakBefore/>
        <w:spacing w:after="200"/>
      </w:pPr>
      <w:r>
        <w:t>步骤 29 预览第二轮偏好</w:t>
      </w:r>
    </w:p>
    <w:p>
      <w:pPr>
        <w:spacing w:after="200"/>
      </w:pPr>
      <w:r>
        <w:t>操作：输入“我要能耗和眩光平衡的方案”，再次点击“预览发送内容”。检查：请求含上一轮已审核偏好，但不含候选 ID、训练数据行或候选明细行；仍须用户主动发送。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balance-outbound-pre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  第二轮输入“我要能耗和眩光平衡的方案”，重新预览；上下文含前轮权重，不含候选明细行。</w:t>
      </w:r>
    </w:p>
    <w:p>
      <w:pPr>
        <w:spacing w:after="80"/>
      </w:pPr>
      <w:r>
        <w:t>预览不等于发送；若要真实联网，用户须自行配置密钥，并明确点击“发送”。</w:t>
      </w:r>
    </w:p>
    <w:p>
      <w:pPr>
        <w:pStyle w:val="Heading1"/>
        <w:pageBreakBefore/>
        <w:spacing w:after="200"/>
      </w:pPr>
      <w:r>
        <w:t>步骤 30 审核平衡模拟建议</w:t>
      </w:r>
    </w:p>
    <w:p>
      <w:pPr>
        <w:spacing w:after="200"/>
      </w:pPr>
      <w:r>
        <w:t>测试说明：第二轮同样由本地替代传输模拟，建议能耗与眩光各 50%、采光 0%。在点击应用前，上一轮实际推荐保持不变；模拟建议不等于在线服务结论。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balance-mock-propos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30  本地模拟第二轮结构化响应：能耗和眩光各 50%，采光 0%；旧排名未暗中改变。</w:t>
      </w:r>
    </w:p>
    <w:p>
      <w:pPr>
        <w:pStyle w:val="Heading1"/>
        <w:pageBreakBefore/>
        <w:spacing w:after="200"/>
      </w:pPr>
      <w:r>
        <w:t>步骤 31 应用平衡权重</w:t>
      </w:r>
    </w:p>
    <w:p>
      <w:pPr>
        <w:spacing w:after="200"/>
      </w:pPr>
      <w:r>
        <w:t>操作：点击“应用审核后的偏好并联动选择”。检查：新权重下本地重新排序、推荐与稳定 ID 联动；固定全候选归一化保证两轮对照口径一致，原始 Pareto 标记不被修改。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balance-appli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31  显式应用第二轮建议，查看本地重新计算的权衡、推荐 ID 与稳定联动；不把权重结果称为物理最优。</w:t>
      </w:r>
    </w:p>
    <w:p>
      <w:pPr>
        <w:spacing w:after="80"/>
      </w:pPr>
      <w:r>
        <w:t>偏好权重只是帮助比较当前候选，不改变代理预测值或物理可行性。</w:t>
      </w:r>
    </w:p>
    <w:p>
      <w:pPr>
        <w:pStyle w:val="Heading1"/>
        <w:pageBreakBefore/>
        <w:spacing w:after="200"/>
      </w:pPr>
      <w:r>
        <w:t>步骤 32 映射已有数值结果</w:t>
      </w:r>
    </w:p>
    <w:p>
      <w:pPr>
        <w:spacing w:after="200"/>
      </w:pPr>
      <w:r>
        <w:t>操作：点击“导入外部结果”，将示例 CSV 的 score_a、score_b 设为目标并指定最小化，不指定输入。检查：仅有目标列也能分析，系统不会虚构设计变量。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2367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external-mapp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32  点击“导入外部结果”，将仅有的两列数值映射为最小化目标，不虚构输入。</w:t>
      </w:r>
    </w:p>
    <w:p>
      <w:pPr>
        <w:pStyle w:val="Heading1"/>
        <w:pageBreakBefore/>
        <w:spacing w:after="200"/>
      </w:pPr>
      <w:r>
        <w:t>步骤 33 查看已有结果</w:t>
      </w:r>
    </w:p>
    <w:p>
      <w:pPr>
        <w:spacing w:after="200"/>
      </w:pPr>
      <w:r>
        <w:t>检查：源文件 3 行以稳定源行 ID 显示；目标仍叫 score_a、score_b。软件不会自动把外部数值认证为代理预测、仿真或实测。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4132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external-resul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33  导入后显示外部数值结果；保留源行 ID 和原目标列名，不标称代理预测或物理验证。</w:t>
      </w:r>
    </w:p>
    <w:sectPr w:rsidR="00FC693F" w:rsidRPr="0006063C" w:rsidSect="00034616">
      <w:pgSz w:w="12240" w:h="15840"/>
      <w:pgMar w:top="1037" w:right="1066" w:bottom="950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Noto Sans CJK SC" w:hAnsi="Noto Sans CJK SC" w:eastAsia="Noto Sans CJK SC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Noto Sans CJK SC" w:hAnsi="Noto Sans CJK SC" w:eastAsia="Noto Sans CJK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