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建筑采光多目标优化平台 入门指南</w:t>
      </w:r>
    </w:p>
    <w:p>
      <w:pPr>
        <w:spacing w:after="200"/>
      </w:pPr>
      <w:r>
        <w:t>使用可复现合成数据完成从导入、模型训练到结果导出的完整流程。</w:t>
      </w:r>
    </w:p>
    <w:p>
      <w:pPr>
        <w:spacing w:after="200"/>
      </w:pPr>
      <w:r>
        <w:t>本指南对应精修后的桌面源码界面。所示分数和优化候选仅用于演示软件操作，不是 Radiance、EnergyPlus、Ladybug Tools 或实测的物理验证结果。</w:t>
      </w:r>
    </w:p>
    <w:p>
      <w:pPr>
        <w:spacing w:after="140"/>
      </w:pPr>
      <w:r>
        <w:t>界面源码版本：96439e1a51307b8af36a2c115bc0d3076d4a35bd。运行记录另存源文件 SHA-256 指纹；本次没有验证更新后的 Windows 安装包。</w:t>
      </w:r>
    </w:p>
    <w:p>
      <w:pPr>
        <w:spacing w:after="200"/>
      </w:pPr>
      <w:r>
        <w:t>操作顺序：数据与列定义 → 模型与训练 → NSGA-II 优化 → 结果分析与导出。全部截图来自同一次 Linux 离屏 Qt 自动化运行；文件选择器由测试路径代选，科学计算、后台任务、图表、导出及项目重开均执行应用实际路径。</w:t>
      </w:r>
    </w:p>
    <w:p>
      <w:pPr>
        <w:pStyle w:val="Heading1"/>
        <w:spacing w:after="120"/>
      </w:pPr>
      <w:r>
        <w:t>开始前准备</w:t>
      </w:r>
    </w:p>
    <w:p>
      <w:pPr>
        <w:spacing w:after="140"/>
      </w:pPr>
      <w:r>
        <w:t>使用项目 README 的安装方法启动源码，或在 Windows 版本可用时从完整分发目录启动 DaylightWorkbench.exe；不要只复制单个 EXE。本文操作使用 demo/manual-synthetic.csv：固定种子 20261020，240 行、10 个输入、3 个目标。</w:t>
      </w:r>
    </w:p>
    <w:p>
      <w:pPr>
        <w:spacing w:after="180"/>
      </w:pPr>
      <w:r>
        <w:t>当前 Windows 打包验收与下述精修源码截图不是同一次验证。离屏 Linux 也没有可用的 WebGL，因此下文只展示已实际运行的二维和平行坐标回退，不将三维标为通过。</w:t>
      </w:r>
    </w:p>
    <w:p>
      <w:pPr>
        <w:pStyle w:val="Heading1"/>
        <w:spacing w:after="120"/>
      </w:pPr>
      <w:r>
        <w:t>本次运行的可核对结果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D9D9D9" w:sz="4"/>
          <w:insideV w:val="single" w:color="D9D9D9" w:sz="4"/>
        </w:tblBorders>
        <w:tblCellMar>
          <w:top w:w="100" w:type="dxa"/>
          <w:start w:w="100" w:type="dxa"/>
          <w:bottom w:w="100" w:type="dxa"/>
          <w:end w:w="100" w:type="dxa"/>
        </w:tblCellMar>
      </w:tblPr>
      <w:tblGrid>
        <w:gridCol w:w="3024"/>
        <w:gridCol w:w="6912"/>
      </w:tblGrid>
      <w:tr>
        <w:tc>
          <w:tcPr>
            <w:tcW w:type="dxa" w:w="5054"/>
            <w:vAlign w:val="center"/>
            <w:shd w:fill="EDF1F4"/>
          </w:tcPr>
          <w:p>
            <w:pPr>
              <w:pStyle w:val="TableText"/>
              <w:spacing w:after="0"/>
            </w:pPr>
            <w:r>
              <w:rPr>
                <w:b/>
              </w:rPr>
              <w:t>项目</w:t>
            </w:r>
          </w:p>
        </w:tc>
        <w:tc>
          <w:tcPr>
            <w:tcW w:type="dxa" w:w="5054"/>
            <w:vAlign w:val="center"/>
            <w:shd w:fill="EDF1F4"/>
          </w:tcPr>
          <w:p>
            <w:pPr>
              <w:pStyle w:val="TableText"/>
              <w:spacing w:after="0"/>
            </w:pPr>
            <w:r>
              <w:rPr>
                <w:b/>
              </w:rPr>
              <w:t>本次实测</w:t>
            </w:r>
          </w:p>
        </w:tc>
      </w:tr>
      <w:tr>
        <w:tc>
          <w:tcPr>
            <w:tcW w:type="dxa" w:w="3024"/>
            <w:vAlign w:val="center"/>
          </w:tcPr>
          <w:p>
            <w:pPr>
              <w:pStyle w:val="TableText"/>
              <w:spacing w:after="0"/>
            </w:pPr>
            <w:r>
              <w:t>数据拆分</w:t>
            </w:r>
          </w:p>
        </w:tc>
        <w:tc>
          <w:tcPr>
            <w:tcW w:type="dxa" w:w="6912"/>
            <w:vAlign w:val="center"/>
          </w:tcPr>
          <w:p>
            <w:pPr>
              <w:pStyle w:val="TableText"/>
              <w:spacing w:after="0"/>
            </w:pPr>
            <w:r>
              <w:t>训练 168 / 验证 36 / 测试 36</w:t>
            </w:r>
          </w:p>
        </w:tc>
      </w:tr>
      <w:tr>
        <w:tc>
          <w:tcPr>
            <w:tcW w:type="dxa" w:w="3024"/>
            <w:vAlign w:val="center"/>
          </w:tcPr>
          <w:p>
            <w:pPr>
              <w:pStyle w:val="TableText"/>
              <w:spacing w:after="0"/>
            </w:pPr>
            <w:r>
              <w:t>严格搜索</w:t>
            </w:r>
          </w:p>
        </w:tc>
        <w:tc>
          <w:tcPr>
            <w:tcW w:type="dxa" w:w="6912"/>
            <w:vAlign w:val="center"/>
          </w:tcPr>
          <w:p>
            <w:pPr>
              <w:pStyle w:val="TableText"/>
              <w:spacing w:after="0"/>
            </w:pPr>
            <w:r>
              <w:t>3 候选 × 5 折，拟合预算 28/40</w:t>
            </w:r>
          </w:p>
        </w:tc>
      </w:tr>
      <w:tr>
        <w:tc>
          <w:tcPr>
            <w:tcW w:type="dxa" w:w="3024"/>
            <w:vAlign w:val="center"/>
          </w:tcPr>
          <w:p>
            <w:pPr>
              <w:pStyle w:val="TableText"/>
              <w:spacing w:after="0"/>
            </w:pPr>
            <w:r>
              <w:t>选中模型</w:t>
            </w:r>
          </w:p>
        </w:tc>
        <w:tc>
          <w:tcPr>
            <w:tcW w:type="dxa" w:w="6912"/>
            <w:vAlign w:val="center"/>
          </w:tcPr>
          <w:p>
            <w:pPr>
              <w:pStyle w:val="TableText"/>
              <w:spacing w:after="0"/>
            </w:pPr>
            <w:r>
              <w:t>ANN</w:t>
            </w:r>
          </w:p>
        </w:tc>
      </w:tr>
      <w:tr>
        <w:tc>
          <w:tcPr>
            <w:tcW w:type="dxa" w:w="3024"/>
            <w:vAlign w:val="center"/>
          </w:tcPr>
          <w:p>
            <w:pPr>
              <w:pStyle w:val="TableText"/>
              <w:spacing w:after="0"/>
            </w:pPr>
            <w:r>
              <w:t>NSGA-II</w:t>
            </w:r>
          </w:p>
        </w:tc>
        <w:tc>
          <w:tcPr>
            <w:tcW w:type="dxa" w:w="6912"/>
            <w:vAlign w:val="center"/>
          </w:tcPr>
          <w:p>
            <w:pPr>
              <w:pStyle w:val="TableText"/>
              <w:spacing w:after="0"/>
            </w:pPr>
            <w:r>
              <w:t>256 次评估，256 个候选</w:t>
            </w:r>
          </w:p>
        </w:tc>
      </w:tr>
      <w:tr>
        <w:tc>
          <w:tcPr>
            <w:tcW w:type="dxa" w:w="3024"/>
            <w:vAlign w:val="center"/>
          </w:tcPr>
          <w:p>
            <w:pPr>
              <w:pStyle w:val="TableText"/>
              <w:spacing w:after="0"/>
            </w:pPr>
            <w:r>
              <w:t>手动筛选与导出</w:t>
            </w:r>
          </w:p>
        </w:tc>
        <w:tc>
          <w:tcPr>
            <w:tcW w:type="dxa" w:w="6912"/>
            <w:vAlign w:val="center"/>
          </w:tcPr>
          <w:p>
            <w:pPr>
              <w:pStyle w:val="TableText"/>
              <w:spacing w:after="0"/>
            </w:pPr>
            <w:r>
              <w:t>103 行；导出 ID 6, 9</w:t>
            </w:r>
          </w:p>
        </w:tc>
      </w:tr>
    </w:tbl>
    <w:p>
      <w:pPr>
        <w:pStyle w:val="Heading1"/>
        <w:pageBreakBefore/>
        <w:spacing w:after="200"/>
      </w:pPr>
      <w:r>
        <w:t>步骤 01 导入合成 CSV</w:t>
      </w:r>
    </w:p>
    <w:p>
      <w:pPr>
        <w:spacing w:after="200"/>
      </w:pPr>
      <w:r>
        <w:t>操作：点击“导入 CSV / XLSX”，选择 demo/manual-synthetic.csv。检查：出现 240 行、13 列；文件名包含 synthetic。</w:t>
      </w:r>
    </w:p>
    <w:p>
      <w:pPr>
        <w:spacing w:after="100"/>
        <w:jc w:val="center"/>
      </w:pPr>
      <w:r>
        <w:drawing>
          <wp:inline xmlns:a="http://schemas.openxmlformats.org/drawingml/2006/main" xmlns:pic="http://schemas.openxmlformats.org/drawingml/2006/picture">
            <wp:extent cx="6355080" cy="441325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import-csv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55080" cy="4413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 01  点击“导入 CSV / XLSX”，选择明确标注为合成的 CSV。</w:t>
      </w:r>
    </w:p>
    <w:p>
      <w:pPr>
        <w:pStyle w:val="Heading1"/>
        <w:pageBreakBefore/>
        <w:spacing w:after="200"/>
      </w:pPr>
      <w:r>
        <w:t>步骤 02 明确输入目标与方向</w:t>
      </w:r>
    </w:p>
    <w:p>
      <w:pPr>
        <w:spacing w:after="200"/>
      </w:pPr>
      <w:r>
        <w:t>操作：将前 10 列设为“自变量 X”，后三列设为“目标 Y”；采光分数最大化，眩光与能耗分数最小化。检查：每个目标均有方向，不靠列名猜测物理含义。</w:t>
      </w:r>
    </w:p>
    <w:p>
      <w:pPr>
        <w:spacing w:after="100"/>
        <w:jc w:val="center"/>
      </w:pPr>
      <w:r>
        <w:drawing>
          <wp:inline xmlns:a="http://schemas.openxmlformats.org/drawingml/2006/main" xmlns:pic="http://schemas.openxmlformats.org/drawingml/2006/picture">
            <wp:extent cx="6355080" cy="441325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assign-role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55080" cy="4413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 02  前 10 列设为自变量 X，后 3 列设为目标 Y；依次选择最大、最小、最小。</w:t>
      </w:r>
    </w:p>
    <w:p>
      <w:pPr>
        <w:pStyle w:val="Heading1"/>
        <w:pageBreakBefore/>
        <w:spacing w:after="200"/>
      </w:pPr>
      <w:r>
        <w:t>步骤 03 校验数据与划分</w:t>
      </w:r>
    </w:p>
    <w:p>
      <w:pPr>
        <w:spacing w:after="200"/>
      </w:pPr>
      <w:r>
        <w:t>操作：点击“校验数据与划分”。检查：本次有效 240 行，训练 168、验证 36、测试 36 行；重复输入和同组样本不跨集。</w:t>
      </w:r>
    </w:p>
    <w:p>
      <w:pPr>
        <w:spacing w:after="100"/>
        <w:jc w:val="center"/>
      </w:pPr>
      <w:r>
        <w:drawing>
          <wp:inline xmlns:a="http://schemas.openxmlformats.org/drawingml/2006/main" xmlns:pic="http://schemas.openxmlformats.org/drawingml/2006/picture">
            <wp:extent cx="6355080" cy="441325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validate-spli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55080" cy="4413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 03  点击“校验数据与划分”，确认有效行数与训练、验证、测试拆分。</w:t>
      </w:r>
    </w:p>
    <w:p>
      <w:pPr>
        <w:pStyle w:val="Heading1"/>
        <w:pageBreakBefore/>
        <w:spacing w:after="200"/>
      </w:pPr>
      <w:r>
        <w:t>步骤 04 设置 ANN 结构</w:t>
      </w:r>
    </w:p>
    <w:p>
      <w:pPr>
        <w:spacing w:after="200"/>
      </w:pPr>
      <w:r>
        <w:t>操作：切到“模型与训练”，设置 64 ReLU、32 Tanh 两个隐藏层；最多 180 轮，早停耐心 24，学习率 0.003，批量 32。检查：图示为 10 个输入、两层隐藏层、3 个输出。</w:t>
      </w:r>
    </w:p>
    <w:p>
      <w:pPr>
        <w:spacing w:after="100"/>
        <w:jc w:val="center"/>
      </w:pPr>
      <w:r>
        <w:drawing>
          <wp:inline xmlns:a="http://schemas.openxmlformats.org/drawingml/2006/main" xmlns:pic="http://schemas.openxmlformats.org/drawingml/2006/picture">
            <wp:extent cx="6355080" cy="441325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ann-setting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55080" cy="4413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 04  在 ANN 结构与参数中设两层 64 ReLU、32 Tanh；最多 180 轮、耐心 24、学习率 0.003、批量 32。</w:t>
      </w:r>
    </w:p>
    <w:p>
      <w:pPr>
        <w:pStyle w:val="Heading1"/>
        <w:pageBreakBefore/>
        <w:spacing w:after="200"/>
      </w:pPr>
      <w:r>
        <w:t>步骤 05 观察单次 ANN 实时训练</w:t>
      </w:r>
    </w:p>
    <w:p>
      <w:pPr>
        <w:spacing w:after="200"/>
      </w:pPr>
      <w:r>
        <w:t>操作：点击“单次 ANN（快速）”。检查：轮次和真实训练、验证损失随后台任务更新。本次截图发生在第 15 轮，任务仍在运行。</w:t>
      </w:r>
    </w:p>
    <w:p>
      <w:pPr>
        <w:spacing w:after="100"/>
        <w:jc w:val="center"/>
      </w:pPr>
      <w:r>
        <w:drawing>
          <wp:inline xmlns:a="http://schemas.openxmlformats.org/drawingml/2006/main" xmlns:pic="http://schemas.openxmlformats.org/drawingml/2006/picture">
            <wp:extent cx="6355080" cy="441325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-ann-live-los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355080" cy="4413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 05  点击“单次 ANN（快速）”；训练中查看实时轮次与真实训练、验证损失。</w:t>
      </w:r>
    </w:p>
    <w:p>
      <w:pPr>
        <w:pStyle w:val="Heading1"/>
        <w:pageBreakBefore/>
        <w:spacing w:after="200"/>
      </w:pPr>
      <w:r>
        <w:t>步骤 06 检查单次 ANN 测试指标</w:t>
      </w:r>
    </w:p>
    <w:p>
      <w:pPr>
        <w:spacing w:after="200"/>
      </w:pPr>
      <w:r>
        <w:t>操作：训练结束后打开“指标 / 实时曲线”。检查：逐目标独立测试集 MAE、MSE、R² 和实测、预测对照图。此为快速固定划分结果，不与后面的交叉验证排名混同。</w:t>
      </w:r>
    </w:p>
    <w:p>
      <w:pPr>
        <w:spacing w:after="100"/>
        <w:jc w:val="center"/>
      </w:pPr>
      <w:r>
        <w:drawing>
          <wp:inline xmlns:a="http://schemas.openxmlformats.org/drawingml/2006/main" xmlns:pic="http://schemas.openxmlformats.org/drawingml/2006/picture">
            <wp:extent cx="6355080" cy="441325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-ann-test-metric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355080" cy="4413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 06  训练完成后，在“指标 / 实时曲线”查看独立测试集各目标误差与实测、预测图。</w:t>
      </w:r>
    </w:p>
    <w:p>
      <w:pPr>
        <w:pStyle w:val="Heading1"/>
        <w:pageBreakBefore/>
        <w:spacing w:after="200"/>
      </w:pPr>
      <w:r>
        <w:t>步骤 07 配置三类模型网格</w:t>
      </w:r>
    </w:p>
    <w:p>
      <w:pPr>
        <w:spacing w:after="200"/>
      </w:pPr>
      <w:r>
        <w:t>操作：在“模型选择 / 网格 / CV”勾选比较 ANN、RF 与 XGBoost，严格模式保留 5 折。设置 ANN 学习率 0.003、批量 32；RF 40 棵树、深度 8；XGBoost 30 轮、深度 3、学习率 0.1。</w:t>
      </w:r>
    </w:p>
    <w:p>
      <w:pPr>
        <w:spacing w:after="100"/>
        <w:jc w:val="center"/>
      </w:pPr>
      <w:r>
        <w:drawing>
          <wp:inline xmlns:a="http://schemas.openxmlformats.org/drawingml/2006/main" xmlns:pic="http://schemas.openxmlformats.org/drawingml/2006/picture">
            <wp:extent cx="6355080" cy="441325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-cv-grid-setting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355080" cy="4413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 07  勾选跨模型比较，保留严格模式 5 折 CV，设置有上限的 ANN、RF、XGBoost 网格。</w:t>
      </w:r>
    </w:p>
    <w:p>
      <w:pPr>
        <w:pStyle w:val="Heading1"/>
        <w:pageBreakBefore/>
        <w:spacing w:after="200"/>
      </w:pPr>
      <w:r>
        <w:t>步骤 08 预览预算后开始验证</w:t>
      </w:r>
    </w:p>
    <w:p>
      <w:pPr>
        <w:spacing w:after="200"/>
      </w:pPr>
      <w:r>
        <w:t>操作：先点击“预览候选与拟合预算”，再点击“开始网格验证 / 模型比较”。检查：3 个候选 × 5 折，共 15 次验证；实际拟合预算 28/40，独立锁定测试 36 行。</w:t>
      </w:r>
    </w:p>
    <w:p>
      <w:pPr>
        <w:spacing w:after="100"/>
        <w:jc w:val="center"/>
      </w:pPr>
      <w:r>
        <w:drawing>
          <wp:inline xmlns:a="http://schemas.openxmlformats.org/drawingml/2006/main" xmlns:pic="http://schemas.openxmlformats.org/drawingml/2006/picture">
            <wp:extent cx="6355080" cy="441325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-cv-budget-preview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355080" cy="4413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 08  点击“预览候选与拟合预算”；确认候选、折数、预算和锁定测试行数后启动。</w:t>
      </w:r>
    </w:p>
    <w:p>
      <w:pPr>
        <w:pStyle w:val="Heading1"/>
        <w:pageBreakBefore/>
        <w:spacing w:after="200"/>
      </w:pPr>
      <w:r>
        <w:t>步骤 09 检查模型选择与独立测试</w:t>
      </w:r>
    </w:p>
    <w:p>
      <w:pPr>
        <w:spacing w:after="200"/>
      </w:pPr>
      <w:r>
        <w:t>操作：展开候选排名并查看各目标指标。检查：本次仅按开发集验证选中了 ANN；重拟合开发集 204 行后，才对锁定的 36 行做最终测试。具体误差见本指南开头。</w:t>
      </w:r>
    </w:p>
    <w:p>
      <w:pPr>
        <w:spacing w:after="100"/>
        <w:jc w:val="center"/>
      </w:pPr>
      <w:r>
        <w:drawing>
          <wp:inline xmlns:a="http://schemas.openxmlformats.org/drawingml/2006/main" xmlns:pic="http://schemas.openxmlformats.org/drawingml/2006/picture">
            <wp:extent cx="6355080" cy="441325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-cv-model-selection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355080" cy="4413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 09  在“指标 / 实时曲线”查看验证候选排名及最终独立测试集逐目标指标。</w:t>
      </w:r>
    </w:p>
    <w:p>
      <w:pPr>
        <w:spacing w:after="80"/>
      </w:pPr>
      <w:r>
        <w:t>测试集只用于所选模型的最终报告，不参与候选排名或早停。</w:t>
      </w:r>
    </w:p>
    <w:p>
      <w:pPr>
        <w:pStyle w:val="Heading1"/>
        <w:spacing w:after="120"/>
      </w:pPr>
      <w:r>
        <w:t>本次独立测试集逐目标指标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D9D9D9" w:sz="4"/>
          <w:insideV w:val="single" w:color="D9D9D9" w:sz="4"/>
        </w:tblBorders>
        <w:tblCellMar>
          <w:top w:w="100" w:type="dxa"/>
          <w:start w:w="100" w:type="dxa"/>
          <w:bottom w:w="100" w:type="dxa"/>
          <w:end w:w="100" w:type="dxa"/>
        </w:tblCellMar>
      </w:tblPr>
      <w:tblGrid>
        <w:gridCol w:w="4032"/>
        <w:gridCol w:w="1800"/>
        <w:gridCol w:w="1944"/>
        <w:gridCol w:w="2160"/>
      </w:tblGrid>
      <w:tr>
        <w:tc>
          <w:tcPr>
            <w:tcW w:type="dxa" w:w="2527"/>
            <w:vAlign w:val="center"/>
            <w:shd w:fill="EDF1F4"/>
          </w:tcPr>
          <w:p>
            <w:pPr>
              <w:pStyle w:val="TableText"/>
              <w:spacing w:after="0"/>
            </w:pPr>
            <w:r>
              <w:rPr>
                <w:b/>
              </w:rPr>
              <w:t>目标分数</w:t>
            </w:r>
          </w:p>
        </w:tc>
        <w:tc>
          <w:tcPr>
            <w:tcW w:type="dxa" w:w="2527"/>
            <w:vAlign w:val="center"/>
            <w:shd w:fill="EDF1F4"/>
          </w:tcPr>
          <w:p>
            <w:pPr>
              <w:pStyle w:val="TableText"/>
              <w:spacing w:after="0"/>
            </w:pPr>
            <w:r>
              <w:rPr>
                <w:b/>
              </w:rPr>
              <w:t>MAE</w:t>
            </w:r>
          </w:p>
        </w:tc>
        <w:tc>
          <w:tcPr>
            <w:tcW w:type="dxa" w:w="2527"/>
            <w:vAlign w:val="center"/>
            <w:shd w:fill="EDF1F4"/>
          </w:tcPr>
          <w:p>
            <w:pPr>
              <w:pStyle w:val="TableText"/>
              <w:spacing w:after="0"/>
            </w:pPr>
            <w:r>
              <w:rPr>
                <w:b/>
              </w:rPr>
              <w:t>MSE</w:t>
            </w:r>
          </w:p>
        </w:tc>
        <w:tc>
          <w:tcPr>
            <w:tcW w:type="dxa" w:w="2527"/>
            <w:vAlign w:val="center"/>
            <w:shd w:fill="EDF1F4"/>
          </w:tcPr>
          <w:p>
            <w:pPr>
              <w:pStyle w:val="TableText"/>
              <w:spacing w:after="0"/>
            </w:pPr>
            <w:r>
              <w:rPr>
                <w:b/>
              </w:rPr>
              <w:t>R²</w:t>
            </w:r>
          </w:p>
        </w:tc>
      </w:tr>
      <w:tr>
        <w:tc>
          <w:tcPr>
            <w:tcW w:type="dxa" w:w="4032"/>
            <w:vAlign w:val="center"/>
          </w:tcPr>
          <w:p>
            <w:pPr>
              <w:pStyle w:val="TableText"/>
              <w:spacing w:after="0"/>
            </w:pPr>
            <w:r>
              <w:t>daylight</w:t>
            </w:r>
          </w:p>
        </w:tc>
        <w:tc>
          <w:tcPr>
            <w:tcW w:type="dxa" w:w="1800"/>
            <w:vAlign w:val="center"/>
          </w:tcPr>
          <w:p>
            <w:pPr>
              <w:pStyle w:val="TableText"/>
              <w:spacing w:after="0"/>
            </w:pPr>
            <w:r>
              <w:t>1.712</w:t>
            </w:r>
          </w:p>
        </w:tc>
        <w:tc>
          <w:tcPr>
            <w:tcW w:type="dxa" w:w="1944"/>
            <w:vAlign w:val="center"/>
          </w:tcPr>
          <w:p>
            <w:pPr>
              <w:pStyle w:val="TableText"/>
              <w:spacing w:after="0"/>
            </w:pPr>
            <w:r>
              <w:t>5.761</w:t>
            </w:r>
          </w:p>
        </w:tc>
        <w:tc>
          <w:tcPr>
            <w:tcW w:type="dxa" w:w="2160"/>
            <w:vAlign w:val="center"/>
          </w:tcPr>
          <w:p>
            <w:pPr>
              <w:pStyle w:val="TableText"/>
              <w:spacing w:after="0"/>
            </w:pPr>
            <w:r>
              <w:t>0.972</w:t>
            </w:r>
          </w:p>
        </w:tc>
      </w:tr>
      <w:tr>
        <w:tc>
          <w:tcPr>
            <w:tcW w:type="dxa" w:w="4032"/>
            <w:vAlign w:val="center"/>
          </w:tcPr>
          <w:p>
            <w:pPr>
              <w:pStyle w:val="TableText"/>
              <w:spacing w:after="0"/>
            </w:pPr>
            <w:r>
              <w:t>glare</w:t>
            </w:r>
          </w:p>
        </w:tc>
        <w:tc>
          <w:tcPr>
            <w:tcW w:type="dxa" w:w="1800"/>
            <w:vAlign w:val="center"/>
          </w:tcPr>
          <w:p>
            <w:pPr>
              <w:pStyle w:val="TableText"/>
              <w:spacing w:after="0"/>
            </w:pPr>
            <w:r>
              <w:t>0.808</w:t>
            </w:r>
          </w:p>
        </w:tc>
        <w:tc>
          <w:tcPr>
            <w:tcW w:type="dxa" w:w="1944"/>
            <w:vAlign w:val="center"/>
          </w:tcPr>
          <w:p>
            <w:pPr>
              <w:pStyle w:val="TableText"/>
              <w:spacing w:after="0"/>
            </w:pPr>
            <w:r>
              <w:t>1.318</w:t>
            </w:r>
          </w:p>
        </w:tc>
        <w:tc>
          <w:tcPr>
            <w:tcW w:type="dxa" w:w="2160"/>
            <w:vAlign w:val="center"/>
          </w:tcPr>
          <w:p>
            <w:pPr>
              <w:pStyle w:val="TableText"/>
              <w:spacing w:after="0"/>
            </w:pPr>
            <w:r>
              <w:t>0.976</w:t>
            </w:r>
          </w:p>
        </w:tc>
      </w:tr>
      <w:tr>
        <w:tc>
          <w:tcPr>
            <w:tcW w:type="dxa" w:w="4032"/>
            <w:vAlign w:val="center"/>
          </w:tcPr>
          <w:p>
            <w:pPr>
              <w:pStyle w:val="TableText"/>
              <w:spacing w:after="0"/>
            </w:pPr>
            <w:r>
              <w:t>energy</w:t>
            </w:r>
          </w:p>
        </w:tc>
        <w:tc>
          <w:tcPr>
            <w:tcW w:type="dxa" w:w="1800"/>
            <w:vAlign w:val="center"/>
          </w:tcPr>
          <w:p>
            <w:pPr>
              <w:pStyle w:val="TableText"/>
              <w:spacing w:after="0"/>
            </w:pPr>
            <w:r>
              <w:t>0.861</w:t>
            </w:r>
          </w:p>
        </w:tc>
        <w:tc>
          <w:tcPr>
            <w:tcW w:type="dxa" w:w="1944"/>
            <w:vAlign w:val="center"/>
          </w:tcPr>
          <w:p>
            <w:pPr>
              <w:pStyle w:val="TableText"/>
              <w:spacing w:after="0"/>
            </w:pPr>
            <w:r>
              <w:t>1.083</w:t>
            </w:r>
          </w:p>
        </w:tc>
        <w:tc>
          <w:tcPr>
            <w:tcW w:type="dxa" w:w="2160"/>
            <w:vAlign w:val="center"/>
          </w:tcPr>
          <w:p>
            <w:pPr>
              <w:pStyle w:val="TableText"/>
              <w:spacing w:after="0"/>
            </w:pPr>
            <w:r>
              <w:t>0.982</w:t>
            </w:r>
          </w:p>
        </w:tc>
      </w:tr>
    </w:tbl>
    <w:p>
      <w:pPr>
        <w:pStyle w:val="Heading1"/>
        <w:pageBreakBefore/>
        <w:spacing w:after="200"/>
      </w:pPr>
      <w:r>
        <w:t>步骤 10 确认变量搜索边界</w:t>
      </w:r>
    </w:p>
    <w:p>
      <w:pPr>
        <w:spacing w:after="200"/>
      </w:pPr>
      <w:r>
        <w:t>操作：在 NSGA-II 页逐列检查训练观测范围、可编辑上下限和三项目标方向；明确将 floor_level 设为整数。设置种群 32、代数 8、种子 42。边界盒本身不保证物理可行性。</w:t>
      </w:r>
    </w:p>
    <w:p>
      <w:pPr>
        <w:spacing w:after="100"/>
        <w:jc w:val="center"/>
      </w:pPr>
      <w:r>
        <w:drawing>
          <wp:inline xmlns:a="http://schemas.openxmlformats.org/drawingml/2006/main" xmlns:pic="http://schemas.openxmlformats.org/drawingml/2006/picture">
            <wp:extent cx="6355080" cy="441325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-opt-bounds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355080" cy="4413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 10  检查 10 个变量的训练观测范围与搜索边界；将 floor_level 明确设为整数，并设置 NSGA-II 种群 32、代数 8。</w:t>
      </w:r>
    </w:p>
    <w:p>
      <w:pPr>
        <w:pStyle w:val="Heading1"/>
        <w:pageBreakBefore/>
        <w:spacing w:after="200"/>
      </w:pPr>
      <w:r>
        <w:t>步骤 11 观察 NSGA-II 实时前沿</w:t>
      </w:r>
    </w:p>
    <w:p>
      <w:pPr>
        <w:spacing w:after="200"/>
      </w:pPr>
      <w:r>
        <w:t>操作：点击“运行 NSGA-II（仅代理预测）”。检查：后台任务期间显示实时代数、评估数与预测前沿；本次截图在第 8 代。</w:t>
      </w:r>
    </w:p>
    <w:p>
      <w:pPr>
        <w:spacing w:after="100"/>
        <w:jc w:val="center"/>
      </w:pPr>
      <w:r>
        <w:drawing>
          <wp:inline xmlns:a="http://schemas.openxmlformats.org/drawingml/2006/main" xmlns:pic="http://schemas.openxmlformats.org/drawingml/2006/picture">
            <wp:extent cx="6355080" cy="441325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-nsga-liv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355080" cy="4413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 11  点击“运行 NSGA-II（仅代理预测）”，查看实时代数、评估次数及预测前沿。</w:t>
      </w:r>
    </w:p>
    <w:p>
      <w:pPr>
        <w:pStyle w:val="Heading1"/>
        <w:pageBreakBefore/>
        <w:spacing w:after="200"/>
      </w:pPr>
      <w:r>
        <w:t>步骤 12 确认优化完成</w:t>
      </w:r>
    </w:p>
    <w:p>
      <w:pPr>
        <w:spacing w:after="200"/>
      </w:pPr>
      <w:r>
        <w:t>检查：本次实际评估 256 个候选。它们全是代理模型给出的预测值，尚未经过 Radiance、EnergyPlus 或实测验证。</w:t>
      </w:r>
    </w:p>
    <w:p>
      <w:pPr>
        <w:spacing w:after="100"/>
        <w:jc w:val="center"/>
      </w:pPr>
      <w:r>
        <w:drawing>
          <wp:inline xmlns:a="http://schemas.openxmlformats.org/drawingml/2006/main" xmlns:pic="http://schemas.openxmlformats.org/drawingml/2006/picture">
            <wp:extent cx="6355080" cy="441325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2-nsga-complet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355080" cy="4413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 12  任务完成后核对实际评估数；优化候选仍只是代理模型预测。</w:t>
      </w:r>
    </w:p>
    <w:p>
      <w:pPr>
        <w:spacing w:after="80"/>
      </w:pPr>
      <w:r>
        <w:t>搜索边界内的“最优”只针对代理模型目标与本次定义的方向。</w:t>
      </w:r>
    </w:p>
    <w:p>
      <w:pPr>
        <w:pStyle w:val="Heading1"/>
        <w:pageBreakBefore/>
        <w:spacing w:after="200"/>
      </w:pPr>
      <w:r>
        <w:t>步骤 13 浏览二维与平行坐标</w:t>
      </w:r>
    </w:p>
    <w:p>
      <w:pPr>
        <w:spacing w:after="200"/>
      </w:pPr>
      <w:r>
        <w:t>操作：在结果页切换到“全部候选 / 外部数据行”。检查：本次 256 个候选显示在目标二维散点和平行坐标中，13 个坐标维度含 3 项目标和 10 项输入。Linux 离屏环境未验证 WebGL 三维视图。</w:t>
      </w:r>
    </w:p>
    <w:p>
      <w:pPr>
        <w:spacing w:after="100"/>
        <w:jc w:val="center"/>
      </w:pPr>
      <w:r>
        <w:drawing>
          <wp:inline xmlns:a="http://schemas.openxmlformats.org/drawingml/2006/main" xmlns:pic="http://schemas.openxmlformats.org/drawingml/2006/picture">
            <wp:extent cx="6355080" cy="441325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3-results-all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355080" cy="4413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 13  切到“结果分析与导出”，选择“全部候选”，查看二维目标空间与 13 轴平行坐标。</w:t>
      </w:r>
    </w:p>
    <w:p>
      <w:pPr>
        <w:pStyle w:val="Heading1"/>
        <w:pageBreakBefore/>
        <w:spacing w:after="200"/>
      </w:pPr>
      <w:r>
        <w:t>步骤 14 用候选 ID 联动选择</w:t>
      </w:r>
    </w:p>
    <w:p>
      <w:pPr>
        <w:spacing w:after="200"/>
      </w:pPr>
      <w:r>
        <w:t>操作：显示表格，在图中选 3 个方案，再按候选 ID 排序表格。检查：图表与表格仍指向同一组 ID 1, 129, 256，不按旧行号错配。</w:t>
      </w:r>
    </w:p>
    <w:p>
      <w:pPr>
        <w:spacing w:after="100"/>
        <w:jc w:val="center"/>
      </w:pPr>
      <w:r>
        <w:drawing>
          <wp:inline xmlns:a="http://schemas.openxmlformats.org/drawingml/2006/main" xmlns:pic="http://schemas.openxmlformats.org/drawingml/2006/picture">
            <wp:extent cx="6355080" cy="441325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4-linked-selection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355080" cy="4413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 14  显示表格，在图中选 3 个稳定候选 ID；表格排序后选择仍与图同步。</w:t>
      </w:r>
    </w:p>
    <w:p>
      <w:pPr>
        <w:spacing w:after="80"/>
      </w:pPr>
      <w:r>
        <w:t>排序或筛选后的联动以 candidate_id 为准。</w:t>
      </w:r>
    </w:p>
    <w:p>
      <w:pPr>
        <w:pStyle w:val="Heading1"/>
        <w:pageBreakBefore/>
        <w:spacing w:after="200"/>
      </w:pPr>
      <w:r>
        <w:t>步骤 15 查看目标两两关系</w:t>
      </w:r>
    </w:p>
    <w:p>
      <w:pPr>
        <w:spacing w:after="200"/>
      </w:pPr>
      <w:r>
        <w:t>操作：在交互分析中切换“目标矩阵”。检查：目标两两散点维持相同的已选候选高亮。</w:t>
      </w:r>
    </w:p>
    <w:p>
      <w:pPr>
        <w:spacing w:after="100"/>
        <w:jc w:val="center"/>
      </w:pPr>
      <w:r>
        <w:drawing>
          <wp:inline xmlns:a="http://schemas.openxmlformats.org/drawingml/2006/main" xmlns:pic="http://schemas.openxmlformats.org/drawingml/2006/picture">
            <wp:extent cx="6355080" cy="441325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5-objective-matrix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355080" cy="4413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 15  切换目标两两散点矩阵，检查已选方案的关联高亮。</w:t>
      </w:r>
    </w:p>
    <w:p>
      <w:pPr>
        <w:pStyle w:val="Heading1"/>
        <w:pageBreakBefore/>
        <w:spacing w:after="200"/>
      </w:pPr>
      <w:r>
        <w:t>步骤 16 查看指标分布</w:t>
      </w:r>
    </w:p>
    <w:p>
      <w:pPr>
        <w:spacing w:after="200"/>
      </w:pPr>
      <w:r>
        <w:t>操作：切换“分布”视图。检查：已选方案叠加在各目标的候选分布中。</w:t>
      </w:r>
    </w:p>
    <w:p>
      <w:pPr>
        <w:spacing w:after="100"/>
        <w:jc w:val="center"/>
      </w:pPr>
      <w:r>
        <w:drawing>
          <wp:inline xmlns:a="http://schemas.openxmlformats.org/drawingml/2006/main" xmlns:pic="http://schemas.openxmlformats.org/drawingml/2006/picture">
            <wp:extent cx="6355080" cy="441325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6-objective-distribution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355080" cy="4413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 16  切换各目标分布，查看已选方案所处位置。</w:t>
      </w:r>
    </w:p>
    <w:p>
      <w:pPr>
        <w:pStyle w:val="Heading1"/>
        <w:pageBreakBefore/>
        <w:spacing w:after="200"/>
      </w:pPr>
      <w:r>
        <w:t>步骤 17 对照已选方案</w:t>
      </w:r>
    </w:p>
    <w:p>
      <w:pPr>
        <w:spacing w:after="200"/>
      </w:pPr>
      <w:r>
        <w:t>操作：切换“对比”视图。检查：按原始分数单位对照所选方案，不把多个目标压成未解释的综合分数。</w:t>
      </w:r>
    </w:p>
    <w:p>
      <w:pPr>
        <w:spacing w:after="100"/>
        <w:jc w:val="center"/>
      </w:pPr>
      <w:r>
        <w:drawing>
          <wp:inline xmlns:a="http://schemas.openxmlformats.org/drawingml/2006/main" xmlns:pic="http://schemas.openxmlformats.org/drawingml/2006/picture">
            <wp:extent cx="6355080" cy="441325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7-selected-comparison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355080" cy="4413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 17  切换已选方案比较，以原始单位对照三项目标。</w:t>
      </w:r>
    </w:p>
    <w:p>
      <w:pPr>
        <w:pStyle w:val="Heading1"/>
        <w:pageBreakBefore/>
        <w:spacing w:after="200"/>
      </w:pPr>
      <w:r>
        <w:t>步骤 18 阅读相关性热图</w:t>
      </w:r>
    </w:p>
    <w:p>
      <w:pPr>
        <w:spacing w:after="200"/>
      </w:pPr>
      <w:r>
        <w:t>操作：切换“相关性”视图。检查：这是当前候选输入与目标的相关关系；候选有选择偏差，不得把相关性解释为因果。</w:t>
      </w:r>
    </w:p>
    <w:p>
      <w:pPr>
        <w:spacing w:after="100"/>
        <w:jc w:val="center"/>
      </w:pPr>
      <w:r>
        <w:drawing>
          <wp:inline xmlns:a="http://schemas.openxmlformats.org/drawingml/2006/main" xmlns:pic="http://schemas.openxmlformats.org/drawingml/2006/picture">
            <wp:extent cx="6355080" cy="441325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8-input-target-correlation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355080" cy="4413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 18  切换输入与目标相关性热图；只作相关描述，不推断因果。</w:t>
      </w:r>
    </w:p>
    <w:p>
      <w:pPr>
        <w:pStyle w:val="Heading1"/>
        <w:pageBreakBefore/>
        <w:spacing w:after="200"/>
      </w:pPr>
      <w:r>
        <w:t>步骤 19 填写手动区间条件</w:t>
      </w:r>
    </w:p>
    <w:p>
      <w:pPr>
        <w:spacing w:after="200"/>
      </w:pPr>
      <w:r>
        <w:t>操作：展开“区间筛选”，在预测采光分数下限输入 35.765。其他上下限留空。</w:t>
      </w:r>
    </w:p>
    <w:p>
      <w:pPr>
        <w:spacing w:after="100"/>
        <w:jc w:val="center"/>
      </w:pPr>
      <w:r>
        <w:drawing>
          <wp:inline xmlns:a="http://schemas.openxmlformats.org/drawingml/2006/main" xmlns:pic="http://schemas.openxmlformats.org/drawingml/2006/picture">
            <wp:extent cx="6355080" cy="4413250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9-manual-filter-settings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355080" cy="4413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 19  展开“区间筛选”，在预测采光分数下限输入演示阈值；留空的边界不限制。</w:t>
      </w:r>
    </w:p>
    <w:p>
      <w:pPr>
        <w:pStyle w:val="Heading1"/>
        <w:pageBreakBefore/>
        <w:spacing w:after="200"/>
      </w:pPr>
      <w:r>
        <w:t>步骤 20 应用筛选并核对行数</w:t>
      </w:r>
    </w:p>
    <w:p>
      <w:pPr>
        <w:spacing w:after="200"/>
      </w:pPr>
      <w:r>
        <w:t>操作：点击“应用筛选”。检查：当前视图为 103 行，低于 256 行；筛选不改写预测值，也不重新定义全表的 Pareto 标记。</w:t>
      </w:r>
    </w:p>
    <w:p>
      <w:pPr>
        <w:spacing w:after="100"/>
        <w:jc w:val="center"/>
      </w:pPr>
      <w:r>
        <w:drawing>
          <wp:inline xmlns:a="http://schemas.openxmlformats.org/drawingml/2006/main" xmlns:pic="http://schemas.openxmlformats.org/drawingml/2006/picture">
            <wp:extent cx="6355080" cy="4413250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-manual-filter-result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355080" cy="4413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 20  点击“应用筛选”，确认当前行数减少且数值与 Pareto 原标记未被改写。</w:t>
      </w:r>
    </w:p>
    <w:p>
      <w:pPr>
        <w:spacing w:after="80"/>
      </w:pPr>
      <w:r>
        <w:t>如需恢复完整结果，可清空条件后重新应用。</w:t>
      </w:r>
    </w:p>
    <w:p>
      <w:pPr>
        <w:pStyle w:val="Heading1"/>
        <w:pageBreakBefore/>
        <w:spacing w:after="200"/>
      </w:pPr>
      <w:r>
        <w:t>步骤 21 导出并核对选择</w:t>
      </w:r>
    </w:p>
    <w:p>
      <w:pPr>
        <w:spacing w:after="200"/>
      </w:pPr>
      <w:r>
        <w:t>操作：选定候选 ID 6, 9，点击“导出已选方案”。检查：CSV 与来源 JSON 一同生成；本次自动化逐列比对导出与原候选数值，并核对 ID 和 SHA-256。</w:t>
      </w:r>
    </w:p>
    <w:p>
      <w:pPr>
        <w:spacing w:after="100"/>
        <w:jc w:val="center"/>
      </w:pPr>
      <w:r>
        <w:drawing>
          <wp:inline xmlns:a="http://schemas.openxmlformats.org/drawingml/2006/main" xmlns:pic="http://schemas.openxmlformats.org/drawingml/2006/picture">
            <wp:extent cx="6355080" cy="4413250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1-export-selected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355080" cy="4413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 21  点击“导出已选方案”，生成 CSV 与来源 JSON；按候选 ID 和各数值列逐项核对导出。</w:t>
      </w:r>
    </w:p>
    <w:p>
      <w:pPr>
        <w:spacing w:after="80"/>
      </w:pPr>
      <w:r>
        <w:t>导出的来源 JSON 可用于核对数据与筛选来源，不等于物理有效性认证。</w:t>
      </w:r>
    </w:p>
    <w:p>
      <w:pPr>
        <w:pStyle w:val="Heading1"/>
        <w:pageBreakBefore/>
        <w:spacing w:after="200"/>
      </w:pPr>
      <w:r>
        <w:t>步骤 22 保存项目</w:t>
      </w:r>
    </w:p>
    <w:p>
      <w:pPr>
        <w:spacing w:after="200"/>
      </w:pPr>
      <w:r>
        <w:t>操作：点击顶端“保存项目”，生成 .dwb。检查：状态栏显示已保存。项目包含原始数据、划分、模型和候选，但文件未加密；不要向不可信对象分享敏感数据。</w:t>
      </w:r>
    </w:p>
    <w:p>
      <w:pPr>
        <w:spacing w:after="100"/>
        <w:jc w:val="center"/>
      </w:pPr>
      <w:r>
        <w:drawing>
          <wp:inline xmlns:a="http://schemas.openxmlformats.org/drawingml/2006/main" xmlns:pic="http://schemas.openxmlformats.org/drawingml/2006/picture">
            <wp:extent cx="6355080" cy="4413250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2-project-saved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355080" cy="4413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 22  点击顶端“保存项目”，将模型、划分和优化结果保存为 .dwb；项目文件未加密。</w:t>
      </w:r>
    </w:p>
    <w:p>
      <w:pPr>
        <w:pStyle w:val="Heading1"/>
        <w:pageBreakBefore/>
        <w:spacing w:after="200"/>
      </w:pPr>
      <w:r>
        <w:t>步骤 23 重开项目</w:t>
      </w:r>
    </w:p>
    <w:p>
      <w:pPr>
        <w:spacing w:after="200"/>
      </w:pPr>
      <w:r>
        <w:t>操作：点击“打开项目”选择刚保存的可信 .dwb。检查：模型、优化候选、筛选后的 ID 和已选方案恢复。本次自动化确实完成保存并重开。</w:t>
      </w:r>
    </w:p>
    <w:p>
      <w:pPr>
        <w:spacing w:after="100"/>
        <w:jc w:val="center"/>
      </w:pPr>
      <w:r>
        <w:drawing>
          <wp:inline xmlns:a="http://schemas.openxmlformats.org/drawingml/2006/main" xmlns:pic="http://schemas.openxmlformats.org/drawingml/2006/picture">
            <wp:extent cx="6355080" cy="4413250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3-project-reopened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355080" cy="4413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 23  点击“打开项目”重开本次 .dwb，确认候选 ID、筛选视图与已选方案恢复。</w:t>
      </w:r>
    </w:p>
    <w:p>
      <w:pPr>
        <w:spacing w:after="80"/>
      </w:pPr>
      <w:r>
        <w:t>仅打开可信来源的 .dwb；项目内容未加密。</w:t>
      </w:r>
    </w:p>
    <w:p>
      <w:pPr>
        <w:pStyle w:val="Heading1"/>
        <w:pageBreakBefore/>
        <w:spacing w:after="200"/>
      </w:pPr>
      <w:r>
        <w:t>步骤 24 映射已有数值结果</w:t>
      </w:r>
    </w:p>
    <w:p>
      <w:pPr>
        <w:spacing w:after="200"/>
      </w:pPr>
      <w:r>
        <w:t>操作：点击“导入外部结果”，将示例 CSV 的 score_a、score_b 设为目标并指定最小化，不指定输入。检查：仅有目标列也能分析，系统不会虚构设计变量。</w:t>
      </w:r>
    </w:p>
    <w:p>
      <w:pPr>
        <w:spacing w:after="100"/>
        <w:jc w:val="center"/>
      </w:pPr>
      <w:r>
        <w:drawing>
          <wp:inline xmlns:a="http://schemas.openxmlformats.org/drawingml/2006/main" xmlns:pic="http://schemas.openxmlformats.org/drawingml/2006/picture">
            <wp:extent cx="6355080" cy="4236720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4-external-mapping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355080" cy="42367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 24  点击“导入外部结果”，将仅有的两列数值映射为最小化目标，不虚构输入。</w:t>
      </w:r>
    </w:p>
    <w:p>
      <w:pPr>
        <w:pStyle w:val="Heading1"/>
        <w:pageBreakBefore/>
        <w:spacing w:after="200"/>
      </w:pPr>
      <w:r>
        <w:t>步骤 25 查看已有结果</w:t>
      </w:r>
    </w:p>
    <w:p>
      <w:pPr>
        <w:spacing w:after="200"/>
      </w:pPr>
      <w:r>
        <w:t>检查：源文件 3 行以稳定源行 ID 显示；目标仍叫 score_a、score_b。软件不会自动把外部数值认证为代理预测、仿真或实测。</w:t>
      </w:r>
    </w:p>
    <w:p>
      <w:pPr>
        <w:spacing w:after="100"/>
        <w:jc w:val="center"/>
      </w:pPr>
      <w:r>
        <w:drawing>
          <wp:inline xmlns:a="http://schemas.openxmlformats.org/drawingml/2006/main" xmlns:pic="http://schemas.openxmlformats.org/drawingml/2006/picture">
            <wp:extent cx="6355080" cy="4413250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5-external-results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355080" cy="4413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 25  导入后显示外部数值结果；保留源行 ID 和原目标列名，不标称代理预测或物理验证。</w:t>
      </w:r>
    </w:p>
    <w:p>
      <w:pPr>
        <w:pStyle w:val="Heading1"/>
        <w:pageBreakBefore/>
        <w:spacing w:after="200"/>
      </w:pPr>
      <w:r>
        <w:t>步骤 26 预览可选 DeepSeek 请求</w:t>
      </w:r>
    </w:p>
    <w:p>
      <w:pPr>
        <w:spacing w:after="200"/>
      </w:pPr>
      <w:r>
        <w:t>操作：输入自然语言筛选条件，点击“生成发送预览”，检查目标主机、完整 JSON 请求体和可能产生的费用。只有主动点击“发送给 DeepSeek”才会联网；收到计划后还需审阅并点击“应用筛选”。本次未提供密钥、未发送在线请求。</w:t>
      </w:r>
    </w:p>
    <w:p>
      <w:pPr>
        <w:spacing w:after="100"/>
        <w:jc w:val="center"/>
      </w:pPr>
      <w:r>
        <w:drawing>
          <wp:inline xmlns:a="http://schemas.openxmlformats.org/drawingml/2006/main" xmlns:pic="http://schemas.openxmlformats.org/drawingml/2006/picture">
            <wp:extent cx="6355080" cy="5866228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6-llm-outbound-preview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355080" cy="58662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 26  可选 DeepSeek：输入问题并点击“生成发送预览”；检查目标主机与完整请求体。此处不填写密钥、不发送。</w:t>
      </w:r>
    </w:p>
    <w:p>
      <w:pPr>
        <w:spacing w:after="80"/>
      </w:pPr>
      <w:r>
        <w:t>无真实密钥：本指南只验证预览及本地结构化计划规则，未验证在线接口成功。</w:t>
      </w:r>
    </w:p>
    <w:sectPr w:rsidR="00FC693F" w:rsidRPr="0006063C" w:rsidSect="00034616">
      <w:pgSz w:w="12240" w:h="15840"/>
      <w:pgMar w:top="1037" w:right="1066" w:bottom="950" w:left="106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83" w:lineRule="auto"/>
    </w:pPr>
    <w:rPr>
      <w:rFonts w:ascii="Noto Sans CJK SC" w:hAnsi="Noto Sans CJK SC" w:eastAsia="Noto Sans CJK SC"/>
      <w:b w:val="0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40" w:line="283" w:lineRule="auto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b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83" w:lineRule="auto" w:after="140"/>
    </w:pPr>
    <w:rPr>
      <w:rFonts w:ascii="Noto Sans CJK SC" w:hAnsi="Noto Sans CJK SC" w:eastAsia="Noto Sans CJK SC"/>
      <w:b w:val="0"/>
      <w:bCs/>
      <w:color w:val="000000"/>
      <w:sz w:val="17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ableText">
    <w:name w:val="Table Text"/>
    <w:rPr>
      <w:rFonts w:ascii="Noto Sans CJK SC" w:hAnsi="Noto Sans CJK SC" w:eastAsia="Noto Sans CJK SC"/>
      <w:b w:val="0"/>
      <w:color w:val="000000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