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413"/>
        <w:gridCol w:w="4961"/>
        <w:gridCol w:w="2651"/>
      </w:tblGrid>
      <w:tr w:rsidR="001B2646" w14:paraId="3E33AAA1" w14:textId="77777777" w:rsidTr="001B2646">
        <w:trPr>
          <w:trHeight w:val="1101"/>
        </w:trPr>
        <w:tc>
          <w:tcPr>
            <w:tcW w:w="1413" w:type="dxa"/>
            <w:shd w:val="clear" w:color="auto" w:fill="747474" w:themeFill="background2" w:themeFillShade="80"/>
          </w:tcPr>
          <w:p w14:paraId="3D966300" w14:textId="71A0BA98" w:rsidR="001B2646" w:rsidRPr="001B2646" w:rsidRDefault="001B2646" w:rsidP="001B2646">
            <w:pPr>
              <w:spacing w:before="240"/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 w:rsidRPr="001B2646"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4961" w:type="dxa"/>
            <w:shd w:val="clear" w:color="auto" w:fill="47D459" w:themeFill="accent3" w:themeFillTint="99"/>
          </w:tcPr>
          <w:p w14:paraId="4D60C06E" w14:textId="769174FF" w:rsidR="001B2646" w:rsidRPr="001B2646" w:rsidRDefault="001B2646" w:rsidP="001B2646">
            <w:pPr>
              <w:spacing w:before="240"/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 w:rsidRPr="001B2646"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2651" w:type="dxa"/>
            <w:shd w:val="clear" w:color="auto" w:fill="D86DCB" w:themeFill="accent5" w:themeFillTint="99"/>
          </w:tcPr>
          <w:p w14:paraId="13C3161A" w14:textId="657A6A70" w:rsidR="001B2646" w:rsidRPr="001B2646" w:rsidRDefault="001B2646" w:rsidP="001B2646">
            <w:pPr>
              <w:spacing w:before="240"/>
              <w:jc w:val="center"/>
              <w:rPr>
                <w:rFonts w:ascii="ADLaM Display" w:hAnsi="ADLaM Display" w:cs="ADLaM Display"/>
                <w:b/>
                <w:bCs/>
                <w:sz w:val="32"/>
                <w:szCs w:val="32"/>
              </w:rPr>
            </w:pPr>
            <w:r w:rsidRPr="001B2646">
              <w:rPr>
                <w:rFonts w:ascii="ADLaM Display" w:hAnsi="ADLaM Display" w:cs="ADLaM Display"/>
                <w:b/>
                <w:bCs/>
                <w:sz w:val="32"/>
                <w:szCs w:val="32"/>
              </w:rPr>
              <w:t>DATE</w:t>
            </w:r>
          </w:p>
        </w:tc>
      </w:tr>
      <w:tr w:rsidR="001B2646" w:rsidRPr="001B2646" w14:paraId="6CE8BB6A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5F25AB64" w14:textId="24522727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1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432D116A" w14:textId="694C457F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Medicinal Chemistry II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3301F38A" w14:textId="45BD484A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17-12-2024</w:t>
            </w:r>
          </w:p>
        </w:tc>
      </w:tr>
      <w:tr w:rsidR="001B2646" w:rsidRPr="001B2646" w14:paraId="15964D92" w14:textId="77777777" w:rsidTr="001B2646">
        <w:trPr>
          <w:trHeight w:val="1151"/>
        </w:trPr>
        <w:tc>
          <w:tcPr>
            <w:tcW w:w="1413" w:type="dxa"/>
            <w:shd w:val="clear" w:color="auto" w:fill="ADADAD" w:themeFill="background2" w:themeFillShade="BF"/>
          </w:tcPr>
          <w:p w14:paraId="376AB9E2" w14:textId="7EB4BC2F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2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1469EDFE" w14:textId="42D6B2EE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Industrial Pharmacy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3EDBE96A" w14:textId="1348C3A9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18-12-2024</w:t>
            </w:r>
          </w:p>
        </w:tc>
      </w:tr>
      <w:tr w:rsidR="001B2646" w:rsidRPr="001B2646" w14:paraId="1B067DF2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422A8725" w14:textId="76A4600A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3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748F7D9D" w14:textId="69CBC083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Pharmacology II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3FD2F4CF" w14:textId="2A0E0D6E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19-12-2024</w:t>
            </w:r>
          </w:p>
        </w:tc>
      </w:tr>
      <w:tr w:rsidR="001B2646" w:rsidRPr="001B2646" w14:paraId="62E51AC5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631A7119" w14:textId="1B056156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4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0871B12A" w14:textId="6C7F2687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Pharmacognosy and Phytochemistry II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0CA64D03" w14:textId="599BF43C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20-12-2024</w:t>
            </w:r>
          </w:p>
        </w:tc>
      </w:tr>
      <w:tr w:rsidR="001B2646" w:rsidRPr="001B2646" w14:paraId="37809376" w14:textId="77777777" w:rsidTr="001B2646">
        <w:trPr>
          <w:trHeight w:val="1101"/>
        </w:trPr>
        <w:tc>
          <w:tcPr>
            <w:tcW w:w="1413" w:type="dxa"/>
            <w:shd w:val="clear" w:color="auto" w:fill="ADADAD" w:themeFill="background2" w:themeFillShade="BF"/>
          </w:tcPr>
          <w:p w14:paraId="0A40D7A1" w14:textId="3873E3E7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48"/>
                <w:szCs w:val="48"/>
              </w:rPr>
            </w:pPr>
            <w:r w:rsidRPr="001B2646">
              <w:rPr>
                <w:b/>
                <w:bCs/>
                <w:sz w:val="48"/>
                <w:szCs w:val="48"/>
              </w:rPr>
              <w:t>5</w:t>
            </w:r>
          </w:p>
        </w:tc>
        <w:tc>
          <w:tcPr>
            <w:tcW w:w="4961" w:type="dxa"/>
            <w:shd w:val="clear" w:color="auto" w:fill="84E290" w:themeFill="accent3" w:themeFillTint="66"/>
          </w:tcPr>
          <w:p w14:paraId="749CE9B7" w14:textId="28078BC6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Pharmaceutical Jurisprudence</w:t>
            </w:r>
          </w:p>
        </w:tc>
        <w:tc>
          <w:tcPr>
            <w:tcW w:w="2651" w:type="dxa"/>
            <w:shd w:val="clear" w:color="auto" w:fill="E59EDC" w:themeFill="accent5" w:themeFillTint="66"/>
          </w:tcPr>
          <w:p w14:paraId="42BF1475" w14:textId="4615EEFC" w:rsidR="001B2646" w:rsidRPr="001B2646" w:rsidRDefault="001B2646" w:rsidP="001B2646">
            <w:pPr>
              <w:spacing w:before="240"/>
              <w:jc w:val="center"/>
              <w:rPr>
                <w:b/>
                <w:bCs/>
                <w:sz w:val="28"/>
                <w:szCs w:val="28"/>
              </w:rPr>
            </w:pPr>
            <w:r w:rsidRPr="001B2646">
              <w:rPr>
                <w:b/>
                <w:bCs/>
                <w:sz w:val="28"/>
                <w:szCs w:val="28"/>
              </w:rPr>
              <w:t>21-12-2024</w:t>
            </w:r>
          </w:p>
        </w:tc>
      </w:tr>
    </w:tbl>
    <w:p w14:paraId="76661C10" w14:textId="77777777" w:rsidR="00E260F5" w:rsidRPr="001B2646" w:rsidRDefault="00E260F5" w:rsidP="001B2646">
      <w:pPr>
        <w:spacing w:before="240"/>
        <w:jc w:val="center"/>
        <w:rPr>
          <w:sz w:val="24"/>
          <w:szCs w:val="24"/>
        </w:rPr>
      </w:pPr>
    </w:p>
    <w:sectPr w:rsidR="00E260F5" w:rsidRPr="001B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491E0" w14:textId="77777777" w:rsidR="005E7D6F" w:rsidRDefault="005E7D6F" w:rsidP="005E7D6F">
      <w:pPr>
        <w:spacing w:after="0" w:line="240" w:lineRule="auto"/>
      </w:pPr>
      <w:r>
        <w:separator/>
      </w:r>
    </w:p>
  </w:endnote>
  <w:endnote w:type="continuationSeparator" w:id="0">
    <w:p w14:paraId="3C7D7680" w14:textId="77777777" w:rsidR="005E7D6F" w:rsidRDefault="005E7D6F" w:rsidP="005E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AE36EA" w14:textId="77777777" w:rsidR="005E7D6F" w:rsidRDefault="005E7D6F" w:rsidP="005E7D6F">
      <w:pPr>
        <w:spacing w:after="0" w:line="240" w:lineRule="auto"/>
      </w:pPr>
      <w:r>
        <w:separator/>
      </w:r>
    </w:p>
  </w:footnote>
  <w:footnote w:type="continuationSeparator" w:id="0">
    <w:p w14:paraId="32F32A33" w14:textId="77777777" w:rsidR="005E7D6F" w:rsidRDefault="005E7D6F" w:rsidP="005E7D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46"/>
    <w:rsid w:val="000851CA"/>
    <w:rsid w:val="001B2646"/>
    <w:rsid w:val="001E01BD"/>
    <w:rsid w:val="002D2DF3"/>
    <w:rsid w:val="0054637E"/>
    <w:rsid w:val="005E7D6F"/>
    <w:rsid w:val="00746BCB"/>
    <w:rsid w:val="00B23971"/>
    <w:rsid w:val="00DB1EED"/>
    <w:rsid w:val="00E2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932D"/>
  <w15:chartTrackingRefBased/>
  <w15:docId w15:val="{767D556F-139F-46BF-B1F6-411C299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6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6F"/>
  </w:style>
  <w:style w:type="paragraph" w:styleId="Footer">
    <w:name w:val="footer"/>
    <w:basedOn w:val="Normal"/>
    <w:link w:val="FooterChar"/>
    <w:uiPriority w:val="99"/>
    <w:unhideWhenUsed/>
    <w:rsid w:val="005E7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24D0E-5674-4002-8F33-DB8C5CB9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Tattu Kamki</dc:creator>
  <cp:keywords/>
  <dc:description/>
  <cp:lastModifiedBy>Tattu Kamki</cp:lastModifiedBy>
  <cp:revision>2</cp:revision>
  <dcterms:created xsi:type="dcterms:W3CDTF">2024-11-06T11:26:00Z</dcterms:created>
  <dcterms:modified xsi:type="dcterms:W3CDTF">2024-11-06T11:26:00Z</dcterms:modified>
</cp:coreProperties>
</file>