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left"/>
        <w:spacing w:before="0" w:after="30"/>
      </w:pPr>
      <w:r>
        <w:rPr>
          <w:b/>
          <w:rFonts w:ascii="Aptos" w:hAnsi="Aptos"/>
          <w:color w:val="000000"/>
          <w:sz w:val="38"/>
          <w:szCs w:val="38"/>
        </w:rPr>
        <w:t xml:space="preserve">Project Completion Invoice</w:t>
      </w:r>
    </w:p>
    <w:p>
      <w:pPr>
        <w:jc w:val="left"/>
        <w:spacing w:before="0" w:after="160"/>
      </w:pPr>
      <w:r>
        <w:rPr>
          <w:rFonts w:ascii="Aptos" w:hAnsi="Aptos"/>
          <w:color w:val="4B5563"/>
          <w:sz w:val="20"/>
          <w:szCs w:val="20"/>
        </w:rPr>
        <w:t xml:space="preserve">Driving School Website and Admin Platform</w:t>
      </w:r>
    </w:p>
    <w:tbl>
      <w:tblPr>
        <w:tblW w:w="0" w:type="auto"/>
        <w:tblLayout w:type="fixed"/>
        <w:tblBorders>
          <w:top w:val="nil"/>
          <w:left w:val="nil"/>
          <w:bottom w:val="nil"/>
          <w:right w:val="nil"/>
          <w:insideH w:val="nil"/>
          <w:insideV w:val="nil"/>
        </w:tblBorders>
      </w:tblPr>
      <w:tblGrid>
        <w:gridCol w:w="4600"/>
        <w:gridCol w:w="3900"/>
      </w:tblGrid>
      <w:tr>
        <w:tc>
          <w:tcPr>
            <w:tcW w:w="46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b/>
                <w:rFonts w:ascii="Aptos" w:hAnsi="Aptos"/>
                <w:color w:val="173F73"/>
                <w:sz w:val="16"/>
                <w:szCs w:val="16"/>
              </w:rPr>
              <w:t xml:space="preserve">FROM</w:t>
            </w:r>
          </w:p>
          <w:p>
            <w:pPr>
              <w:jc w:val="left"/>
              <w:spacing w:after="45"/>
            </w:pPr>
            <w:pPr>
              <w:jc w:val="left"/>
              <w:spacing w:before="0" w:after="70"/>
            </w:pPr>
            <w:r>
              <w:rPr>
                <w:b/>
                <w:rFonts w:ascii="Aptos" w:hAnsi="Aptos"/>
                <w:color w:val="000000"/>
                <w:sz w:val="22"/>
                <w:szCs w:val="22"/>
              </w:rPr>
              <w:t xml:space="preserve">YOUR COMPANY NAME</w:t>
            </w:r>
          </w:p>
          <w:p>
            <w:pPr>
              <w:jc w:val="left"/>
              <w:spacing w:after="45"/>
            </w:pPr>
            <w:pPr>
              <w:jc w:val="left"/>
              <w:spacing w:before="0" w:after="70"/>
            </w:pPr>
            <w:r>
              <w:rPr>
                <w:rFonts w:ascii="Aptos" w:hAnsi="Aptos"/>
                <w:color w:val="4B5563"/>
                <w:sz w:val="16"/>
                <w:szCs w:val="16"/>
              </w:rPr>
              <w:t xml:space="preserve">Replace with your name, business address, email, and phone number.</w:t>
            </w:r>
          </w:p>
        </w:tc>
        <w:tc>
          <w:tcPr>
            <w:tcW w:w="39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b/>
                <w:rFonts w:ascii="Aptos" w:hAnsi="Aptos"/>
                <w:color w:val="173F73"/>
                <w:sz w:val="16"/>
                <w:szCs w:val="16"/>
              </w:rPr>
              <w:t xml:space="preserve">BILL TO</w:t>
            </w:r>
          </w:p>
          <w:p>
            <w:pPr>
              <w:jc w:val="left"/>
              <w:spacing w:after="45"/>
            </w:pPr>
            <w:pPr>
              <w:jc w:val="left"/>
              <w:spacing w:before="0" w:after="70"/>
            </w:pPr>
            <w:r>
              <w:rPr>
                <w:b/>
                <w:rFonts w:ascii="Aptos" w:hAnsi="Aptos"/>
                <w:color w:val="000000"/>
                <w:sz w:val="22"/>
                <w:szCs w:val="22"/>
              </w:rPr>
              <w:t xml:space="preserve">A Precision Driving School</w:t>
            </w:r>
          </w:p>
          <w:p>
            <w:pPr>
              <w:jc w:val="left"/>
              <w:spacing w:after="45"/>
            </w:pPr>
            <w:pPr>
              <w:jc w:val="left"/>
              <w:spacing w:before="0" w:after="70"/>
            </w:pPr>
            <w:r>
              <w:rPr>
                <w:rFonts w:ascii="Aptos" w:hAnsi="Aptos"/>
                <w:color w:val="4B5563"/>
                <w:sz w:val="16"/>
                <w:szCs w:val="16"/>
              </w:rPr>
              <w:t xml:space="preserve">aprecisiondrivingschool@gmail.com</w:t>
            </w:r>
          </w:p>
        </w:tc>
      </w:tr>
    </w:tbl>
    <w:p>
      <w:pPr>
        <w:spacing w:after="100"/>
      </w:pPr>
    </w:p>
    <w:tbl>
      <w:tblPr>
        <w:tblW w:w="0" w:type="auto"/>
        <w:tblLayout w:type="fixed"/>
        <w:tblBorders>
          <w:top w:val="nil"/>
          <w:left w:val="nil"/>
          <w:bottom w:val="nil"/>
          <w:right w:val="nil"/>
          <w:insideH w:val="nil"/>
          <w:insideV w:val="nil"/>
        </w:tblBorders>
      </w:tblPr>
      <w:tblGrid>
        <w:gridCol w:w="2800"/>
        <w:gridCol w:w="2800"/>
        <w:gridCol w:w="2900"/>
      </w:tblGrid>
      <w:tr>
        <w:tc>
          <w:tcPr>
            <w:tcW w:w="2800" w:type="dxa"/>
            <w:shd w:fill="EAF2FC"/>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b/>
                <w:rFonts w:ascii="Aptos" w:hAnsi="Aptos"/>
                <w:color w:val="173F73"/>
                <w:sz w:val="16"/>
                <w:szCs w:val="16"/>
              </w:rPr>
              <w:t xml:space="preserve">INVOICE NUMBER  INV 2026 001</w:t>
            </w:r>
          </w:p>
        </w:tc>
        <w:tc>
          <w:tcPr>
            <w:tcW w:w="2800" w:type="dxa"/>
            <w:shd w:fill="EAF2FC"/>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b/>
                <w:rFonts w:ascii="Aptos" w:hAnsi="Aptos"/>
                <w:color w:val="173F73"/>
                <w:sz w:val="16"/>
                <w:szCs w:val="16"/>
              </w:rPr>
              <w:t xml:space="preserve">ISSUE DATE  October 15 2026</w:t>
            </w:r>
          </w:p>
        </w:tc>
        <w:tc>
          <w:tcPr>
            <w:tcW w:w="2900" w:type="dxa"/>
            <w:shd w:fill="EAF2FC"/>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b/>
                <w:rFonts w:ascii="Aptos" w:hAnsi="Aptos"/>
                <w:color w:val="173F73"/>
                <w:sz w:val="16"/>
                <w:szCs w:val="16"/>
              </w:rPr>
              <w:t xml:space="preserve">PAYMENT TERMS  Due on receipt</w:t>
            </w:r>
          </w:p>
        </w:tc>
      </w:tr>
    </w:tbl>
    <w:p>
      <w:pPr>
        <w:spacing w:after="120"/>
      </w:pPr>
    </w:p>
    <w:p>
      <w:pPr>
        <w:jc w:val="left"/>
        <w:spacing w:before="0" w:after="80"/>
      </w:pPr>
      <w:r>
        <w:rPr>
          <w:b/>
          <w:rFonts w:ascii="Aptos" w:hAnsi="Aptos"/>
          <w:color w:val="000000"/>
          <w:sz w:val="22"/>
          <w:szCs w:val="22"/>
        </w:rPr>
        <w:t xml:space="preserve">Completed services and charges</w:t>
      </w:r>
    </w:p>
    <w:p>
      <w:pPr>
        <w:jc w:val="left"/>
        <w:spacing w:before="0" w:after="100"/>
      </w:pPr>
      <w:r>
        <w:rPr>
          <w:rFonts w:ascii="Aptos" w:hAnsi="Aptos"/>
          <w:color w:val="4B5563"/>
          <w:sz w:val="16"/>
          <w:szCs w:val="16"/>
        </w:rPr>
        <w:t xml:space="preserve">The following work has been completed for the Driving School website and its booking and administration platform.</w:t>
      </w:r>
    </w:p>
    <w:tbl>
      <w:tblPr>
        <w:tblW w:w="0" w:type="auto"/>
        <w:tblLayout w:type="fixed"/>
        <w:tblBorders>
          <w:top w:val="nil"/>
          <w:left w:val="nil"/>
          <w:bottom w:val="nil"/>
          <w:right w:val="nil"/>
          <w:insideH w:val="nil"/>
          <w:insideV w:val="nil"/>
        </w:tblBorders>
      </w:tblPr>
      <w:tblGrid>
        <w:gridCol w:w="500"/>
        <w:gridCol w:w="2350"/>
        <w:gridCol w:w="4700"/>
        <w:gridCol w:w="1350"/>
      </w:tblGrid>
      <w:tr>
        <w:tc>
          <w:tcPr>
            <w:tcW w:w="500" w:type="dxa"/>
            <w:shd w:fill="173F73"/>
            <w:tcMar>
              <w:top w:w="100" w:type="dxa"/>
              <w:start w:w="130" w:type="dxa"/>
              <w:bottom w:w="100" w:type="dxa"/>
              <w:end w:w="130" w:type="dxa"/>
            </w:tcMar>
            <w:vAlign w:val="center"/>
            <w:tcBorders>
              <w:top w:val="single" w:sz="6" w:color="173F73"/>
              <w:left w:val="single" w:sz="6" w:color="173F73"/>
              <w:bottom w:val="single" w:sz="6" w:color="173F73"/>
              <w:right w:val="single" w:sz="6" w:color="173F73"/>
            </w:tcBorders>
          </w:tcPr>
          <w:p>
            <w:pPr>
              <w:jc w:val="center"/>
              <w:spacing w:after="45"/>
            </w:pPr>
            <w:pPr>
              <w:jc w:val="center"/>
              <w:spacing w:before="0" w:after="70"/>
            </w:pPr>
            <w:r>
              <w:rPr>
                <w:b/>
                <w:rFonts w:ascii="Aptos" w:hAnsi="Aptos"/>
                <w:color w:val="FFFFFF"/>
                <w:sz w:val="17"/>
                <w:szCs w:val="17"/>
              </w:rPr>
              <w:t xml:space="preserve">#</w:t>
            </w:r>
          </w:p>
        </w:tc>
        <w:tc>
          <w:tcPr>
            <w:tcW w:w="2350" w:type="dxa"/>
            <w:shd w:fill="173F73"/>
            <w:tcMar>
              <w:top w:w="100" w:type="dxa"/>
              <w:start w:w="130" w:type="dxa"/>
              <w:bottom w:w="100" w:type="dxa"/>
              <w:end w:w="130" w:type="dxa"/>
            </w:tcMar>
            <w:vAlign w:val="center"/>
            <w:tcBorders>
              <w:top w:val="single" w:sz="6" w:color="173F73"/>
              <w:left w:val="single" w:sz="6" w:color="173F73"/>
              <w:bottom w:val="single" w:sz="6" w:color="173F73"/>
              <w:right w:val="single" w:sz="6" w:color="173F73"/>
            </w:tcBorders>
          </w:tcPr>
          <w:p>
            <w:pPr>
              <w:jc w:val="left"/>
              <w:spacing w:after="45"/>
            </w:pPr>
            <w:pPr>
              <w:jc w:val="left"/>
              <w:spacing w:before="0" w:after="70"/>
            </w:pPr>
            <w:r>
              <w:rPr>
                <w:b/>
                <w:rFonts w:ascii="Aptos" w:hAnsi="Aptos"/>
                <w:color w:val="FFFFFF"/>
                <w:sz w:val="17"/>
                <w:szCs w:val="17"/>
              </w:rPr>
              <w:t xml:space="preserve">Service</w:t>
            </w:r>
          </w:p>
        </w:tc>
        <w:tc>
          <w:tcPr>
            <w:tcW w:w="4700" w:type="dxa"/>
            <w:shd w:fill="173F73"/>
            <w:tcMar>
              <w:top w:w="100" w:type="dxa"/>
              <w:start w:w="130" w:type="dxa"/>
              <w:bottom w:w="100" w:type="dxa"/>
              <w:end w:w="130" w:type="dxa"/>
            </w:tcMar>
            <w:vAlign w:val="center"/>
            <w:tcBorders>
              <w:top w:val="single" w:sz="6" w:color="173F73"/>
              <w:left w:val="single" w:sz="6" w:color="173F73"/>
              <w:bottom w:val="single" w:sz="6" w:color="173F73"/>
              <w:right w:val="single" w:sz="6" w:color="173F73"/>
            </w:tcBorders>
          </w:tcPr>
          <w:p>
            <w:pPr>
              <w:jc w:val="left"/>
              <w:spacing w:after="45"/>
            </w:pPr>
            <w:pPr>
              <w:jc w:val="left"/>
              <w:spacing w:before="0" w:after="70"/>
            </w:pPr>
            <w:r>
              <w:rPr>
                <w:b/>
                <w:rFonts w:ascii="Aptos" w:hAnsi="Aptos"/>
                <w:color w:val="FFFFFF"/>
                <w:sz w:val="17"/>
                <w:szCs w:val="17"/>
              </w:rPr>
              <w:t xml:space="preserve">Work completed</w:t>
            </w:r>
          </w:p>
        </w:tc>
        <w:tc>
          <w:tcPr>
            <w:tcW w:w="1350" w:type="dxa"/>
            <w:shd w:fill="173F73"/>
            <w:tcMar>
              <w:top w:w="100" w:type="dxa"/>
              <w:start w:w="130" w:type="dxa"/>
              <w:bottom w:w="100" w:type="dxa"/>
              <w:end w:w="130" w:type="dxa"/>
            </w:tcMar>
            <w:vAlign w:val="center"/>
            <w:tcBorders>
              <w:top w:val="single" w:sz="6" w:color="173F73"/>
              <w:left w:val="single" w:sz="6" w:color="173F73"/>
              <w:bottom w:val="single" w:sz="6" w:color="173F73"/>
              <w:right w:val="single" w:sz="6" w:color="173F73"/>
            </w:tcBorders>
          </w:tcPr>
          <w:p>
            <w:pPr>
              <w:jc w:val="right"/>
              <w:spacing w:after="45"/>
            </w:pPr>
            <w:pPr>
              <w:jc w:val="right"/>
              <w:spacing w:before="0" w:after="70"/>
            </w:pPr>
            <w:r>
              <w:rPr>
                <w:b/>
                <w:rFonts w:ascii="Aptos" w:hAnsi="Aptos"/>
                <w:color w:val="FFFFFF"/>
                <w:sz w:val="17"/>
                <w:szCs w:val="17"/>
              </w:rPr>
              <w:t xml:space="preserve">Charge</w:t>
            </w:r>
          </w:p>
        </w:tc>
      </w:tr>
      <w:tr>
        <w:tc>
          <w:tcPr>
            <w:tcW w:w="5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01</w:t>
            </w:r>
          </w:p>
        </w:tc>
        <w:tc>
          <w:tcPr>
            <w:tcW w:w="2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Public website design and responsive development</w:t>
            </w:r>
          </w:p>
        </w:tc>
        <w:tc>
          <w:tcPr>
            <w:tcW w:w="47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Home, package and pricing, contact, driving lesson registration, and online drivers education pages.</w:t>
            </w:r>
          </w:p>
        </w:tc>
        <w:tc>
          <w:tcPr>
            <w:tcW w:w="1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$750.00</w:t>
            </w:r>
          </w:p>
        </w:tc>
      </w:tr>
      <w:tr>
        <w:tc>
          <w:tcPr>
            <w:tcW w:w="50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02</w:t>
            </w:r>
          </w:p>
        </w:tc>
        <w:tc>
          <w:tcPr>
            <w:tcW w:w="235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Admin dashboard and secure access controls</w:t>
            </w:r>
          </w:p>
        </w:tc>
        <w:tc>
          <w:tcPr>
            <w:tcW w:w="470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Admin login, role based access, booking management, and manual student management tools.</w:t>
            </w:r>
          </w:p>
        </w:tc>
        <w:tc>
          <w:tcPr>
            <w:tcW w:w="135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$700.00</w:t>
            </w:r>
          </w:p>
        </w:tc>
      </w:tr>
      <w:tr>
        <w:tc>
          <w:tcPr>
            <w:tcW w:w="5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03</w:t>
            </w:r>
          </w:p>
        </w:tc>
        <w:tc>
          <w:tcPr>
            <w:tcW w:w="2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Student portal and booking workflow</w:t>
            </w:r>
          </w:p>
        </w:tc>
        <w:tc>
          <w:tcPr>
            <w:tcW w:w="47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Student login experience, enrollment status, course dashboard, lesson booking and account views.</w:t>
            </w:r>
          </w:p>
        </w:tc>
        <w:tc>
          <w:tcPr>
            <w:tcW w:w="1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$650.00</w:t>
            </w:r>
          </w:p>
        </w:tc>
      </w:tr>
      <w:tr>
        <w:tc>
          <w:tcPr>
            <w:tcW w:w="50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04</w:t>
            </w:r>
          </w:p>
        </w:tc>
        <w:tc>
          <w:tcPr>
            <w:tcW w:w="235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Courses pricing locations and business content</w:t>
            </w:r>
          </w:p>
        </w:tc>
        <w:tc>
          <w:tcPr>
            <w:tcW w:w="470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Packages, lesson plans, locations, pricing settings, and site content configuration.</w:t>
            </w:r>
          </w:p>
        </w:tc>
        <w:tc>
          <w:tcPr>
            <w:tcW w:w="135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$350.00</w:t>
            </w:r>
          </w:p>
        </w:tc>
      </w:tr>
      <w:tr>
        <w:tc>
          <w:tcPr>
            <w:tcW w:w="5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05</w:t>
            </w:r>
          </w:p>
        </w:tc>
        <w:tc>
          <w:tcPr>
            <w:tcW w:w="2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Database authentication and security configuration</w:t>
            </w:r>
          </w:p>
        </w:tc>
        <w:tc>
          <w:tcPr>
            <w:tcW w:w="47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MongoDB data setup, Firebase authentication, admin user setup, and access management.</w:t>
            </w:r>
          </w:p>
        </w:tc>
        <w:tc>
          <w:tcPr>
            <w:tcW w:w="1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$500.00</w:t>
            </w:r>
          </w:p>
        </w:tc>
      </w:tr>
      <w:tr>
        <w:tc>
          <w:tcPr>
            <w:tcW w:w="50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06</w:t>
            </w:r>
          </w:p>
        </w:tc>
        <w:tc>
          <w:tcPr>
            <w:tcW w:w="235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Online payment integration and testing</w:t>
            </w:r>
          </w:p>
        </w:tc>
        <w:tc>
          <w:tcPr>
            <w:tcW w:w="470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PayPal checkout integration, sandbox payment test, booking confirmation, and payment status updates.</w:t>
            </w:r>
          </w:p>
        </w:tc>
        <w:tc>
          <w:tcPr>
            <w:tcW w:w="135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$350.00</w:t>
            </w:r>
          </w:p>
        </w:tc>
      </w:tr>
      <w:tr>
        <w:tc>
          <w:tcPr>
            <w:tcW w:w="5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07</w:t>
            </w:r>
          </w:p>
        </w:tc>
        <w:tc>
          <w:tcPr>
            <w:tcW w:w="2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Email notifications and Google Calendar sync</w:t>
            </w:r>
          </w:p>
        </w:tc>
        <w:tc>
          <w:tcPr>
            <w:tcW w:w="47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Booking emails, payment emails, calendar events, lesson details, and reminder setup.</w:t>
            </w:r>
          </w:p>
        </w:tc>
        <w:tc>
          <w:tcPr>
            <w:tcW w:w="1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$450.00</w:t>
            </w:r>
          </w:p>
        </w:tc>
      </w:tr>
      <w:tr>
        <w:tc>
          <w:tcPr>
            <w:tcW w:w="50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08</w:t>
            </w:r>
          </w:p>
        </w:tc>
        <w:tc>
          <w:tcPr>
            <w:tcW w:w="235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Deployment domain SSL and DNS configuration</w:t>
            </w:r>
          </w:p>
        </w:tc>
        <w:tc>
          <w:tcPr>
            <w:tcW w:w="470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Vercel production deployment, custom domain routing, SSL validation, and DNS troubleshooting.</w:t>
            </w:r>
          </w:p>
        </w:tc>
        <w:tc>
          <w:tcPr>
            <w:tcW w:w="1350" w:type="dxa"/>
            <w:shd w:fill="F4F7FB"/>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$500.00</w:t>
            </w:r>
          </w:p>
        </w:tc>
      </w:tr>
      <w:tr>
        <w:tc>
          <w:tcPr>
            <w:tcW w:w="5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center"/>
              <w:spacing w:after="45"/>
            </w:pPr>
            <w:pPr>
              <w:jc w:val="center"/>
              <w:spacing w:before="0" w:after="70"/>
            </w:pPr>
            <w:r>
              <w:rPr>
                <w:rFonts w:ascii="Aptos" w:hAnsi="Aptos"/>
                <w:color w:val="1F2937"/>
                <w:sz w:val="15"/>
                <w:szCs w:val="15"/>
              </w:rPr>
              <w:t xml:space="preserve">09</w:t>
            </w:r>
          </w:p>
        </w:tc>
        <w:tc>
          <w:tcPr>
            <w:tcW w:w="2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Quality assurance handover and support preparation</w:t>
            </w:r>
          </w:p>
        </w:tc>
        <w:tc>
          <w:tcPr>
            <w:tcW w:w="470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left"/>
              <w:spacing w:after="45"/>
            </w:pPr>
            <w:pPr>
              <w:jc w:val="left"/>
              <w:spacing w:before="0" w:after="70"/>
            </w:pPr>
            <w:r>
              <w:rPr>
                <w:rFonts w:ascii="Aptos" w:hAnsi="Aptos"/>
                <w:color w:val="1F2937"/>
                <w:sz w:val="15"/>
                <w:szCs w:val="15"/>
              </w:rPr>
              <w:t xml:space="preserve">Responsive review, booking and payment testing, deployment checks, account ownership preparation, and handover support.</w:t>
            </w:r>
          </w:p>
        </w:tc>
        <w:tc>
          <w:tcPr>
            <w:tcW w:w="1350" w:type="dxa"/>
            <w:shd w:fill="FFFFFF"/>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1F2937"/>
                <w:sz w:val="15"/>
                <w:szCs w:val="15"/>
              </w:rPr>
              <w:t xml:space="preserve">$250.00</w:t>
            </w:r>
          </w:p>
        </w:tc>
      </w:tr>
    </w:tbl>
    <w:p>
      <w:pPr>
        <w:spacing w:after="100"/>
      </w:pPr>
    </w:p>
    <w:tbl>
      <w:tblPr>
        <w:tblW w:w="0" w:type="auto"/>
        <w:tblLayout w:type="fixed"/>
        <w:tblBorders>
          <w:top w:val="nil"/>
          <w:left w:val="nil"/>
          <w:bottom w:val="nil"/>
          <w:right w:val="nil"/>
          <w:insideH w:val="nil"/>
          <w:insideV w:val="nil"/>
        </w:tblBorders>
      </w:tblPr>
      <w:tblGrid>
        <w:gridCol w:w="5100"/>
        <w:gridCol w:w="4400"/>
      </w:tblGrid>
      <w:tr>
        <w:tc>
          <w:tcPr>
            <w:tcW w:w="5100" w:type="dxa"/>
            <w:shd w:fill="FFFFFF"/>
            <w:tcMar>
              <w:top w:w="100" w:type="dxa"/>
              <w:start w:w="130" w:type="dxa"/>
              <w:bottom w:w="100" w:type="dxa"/>
              <w:end w:w="130" w:type="dxa"/>
            </w:tcMar>
            <w:vAlign w:val="center"/>
            <w:tcBorders>
              <w:top w:val="single" w:sz="6" w:color="FFFFFF"/>
              <w:left w:val="single" w:sz="6" w:color="FFFFFF"/>
              <w:bottom w:val="single" w:sz="6" w:color="FFFFFF"/>
              <w:right w:val="single" w:sz="6" w:color="FFFFFF"/>
            </w:tcBorders>
          </w:tcPr>
          <w:p>
            <w:pPr>
              <w:jc w:val="left"/>
              <w:spacing w:after="45"/>
            </w:pPr>
            <w:pPr>
              <w:jc w:val="left"/>
              <w:spacing w:before="0" w:after="70"/>
            </w:pPr>
            <w:r>
              <w:rPr>
                <w:b/>
                <w:rFonts w:ascii="Aptos" w:hAnsi="Aptos"/>
                <w:color w:val="173F73"/>
                <w:sz w:val="16"/>
                <w:szCs w:val="16"/>
              </w:rPr>
              <w:t xml:space="preserve">Payment note</w:t>
            </w:r>
          </w:p>
          <w:p>
            <w:pPr>
              <w:jc w:val="left"/>
              <w:spacing w:after="45"/>
            </w:pPr>
            <w:pPr>
              <w:jc w:val="left"/>
              <w:spacing w:before="0" w:after="70"/>
            </w:pPr>
            <w:r>
              <w:rPr>
                <w:rFonts w:ascii="Aptos" w:hAnsi="Aptos"/>
                <w:color w:val="4B5563"/>
                <w:sz w:val="15"/>
                <w:szCs w:val="15"/>
              </w:rPr>
              <w:t xml:space="preserve">Payment method: Replace with your PayPal, bank transfer, or other payment instructions before sending.</w:t>
            </w:r>
          </w:p>
        </w:tc>
        <w:tc>
          <w:tcPr>
            <w:tcW w:w="4400" w:type="dxa"/>
            <w:shd w:fill="EAF2FC"/>
            <w:tcMar>
              <w:top w:w="100" w:type="dxa"/>
              <w:start w:w="130" w:type="dxa"/>
              <w:bottom w:w="100" w:type="dxa"/>
              <w:end w:w="130" w:type="dxa"/>
            </w:tcMar>
            <w:vAlign w:val="center"/>
            <w:tcBorders>
              <w:top w:val="single" w:sz="6" w:color="D9D9D9"/>
              <w:left w:val="single" w:sz="6" w:color="D9D9D9"/>
              <w:bottom w:val="single" w:sz="6" w:color="D9D9D9"/>
              <w:right w:val="single" w:sz="6" w:color="D9D9D9"/>
            </w:tcBorders>
          </w:tcPr>
          <w:p>
            <w:pPr>
              <w:jc w:val="right"/>
              <w:spacing w:after="45"/>
            </w:pPr>
            <w:pPr>
              <w:jc w:val="right"/>
              <w:spacing w:before="0" w:after="70"/>
            </w:pPr>
            <w:r>
              <w:rPr>
                <w:rFonts w:ascii="Aptos" w:hAnsi="Aptos"/>
                <w:color w:val="374151"/>
                <w:sz w:val="16"/>
                <w:szCs w:val="16"/>
              </w:rPr>
              <w:t xml:space="preserve">Subtotal  $4,500.00</w:t>
            </w:r>
          </w:p>
          <w:p>
            <w:pPr>
              <w:jc w:val="right"/>
              <w:spacing w:after="45"/>
            </w:pPr>
            <w:pPr>
              <w:jc w:val="right"/>
              <w:spacing w:before="0" w:after="70"/>
            </w:pPr>
            <w:r>
              <w:rPr>
                <w:rFonts w:ascii="Aptos" w:hAnsi="Aptos"/>
                <w:color w:val="374151"/>
                <w:sz w:val="16"/>
                <w:szCs w:val="16"/>
              </w:rPr>
              <w:t xml:space="preserve">Tax  $0.00</w:t>
            </w:r>
          </w:p>
          <w:p>
            <w:pPr>
              <w:jc w:val="right"/>
              <w:spacing w:after="45"/>
            </w:pPr>
            <w:pPr>
              <w:jc w:val="right"/>
              <w:spacing w:before="0" w:after="70"/>
            </w:pPr>
            <w:r>
              <w:rPr>
                <w:b/>
                <w:rFonts w:ascii="Aptos" w:hAnsi="Aptos"/>
                <w:color w:val="173F73"/>
                <w:sz w:val="23"/>
                <w:szCs w:val="23"/>
              </w:rPr>
              <w:t xml:space="preserve">TOTAL DUE  $4,500.00</w:t>
            </w:r>
          </w:p>
        </w:tc>
      </w:tr>
    </w:tbl>
    <w:p>
      <w:r>
        <w:br w:type="page"/>
      </w:r>
    </w:p>
    <w:p>
      <w:pPr>
        <w:jc w:val="left"/>
        <w:spacing w:before="0" w:after="60"/>
      </w:pPr>
      <w:r>
        <w:rPr>
          <w:b/>
          <w:rFonts w:ascii="Aptos" w:hAnsi="Aptos"/>
          <w:color w:val="000000"/>
          <w:sz w:val="34"/>
          <w:szCs w:val="34"/>
        </w:rPr>
        <w:t xml:space="preserve">Work Completed Details</w:t>
      </w:r>
    </w:p>
    <w:p>
      <w:pPr>
        <w:jc w:val="left"/>
        <w:spacing w:before="0" w:after="150"/>
      </w:pPr>
      <w:r>
        <w:rPr>
          <w:rFonts w:ascii="Aptos" w:hAnsi="Aptos"/>
          <w:color w:val="4B5563"/>
          <w:sz w:val="18"/>
          <w:szCs w:val="18"/>
        </w:rPr>
        <w:t xml:space="preserve">This page summarizes the deliverables included in the project invoice.</w:t>
      </w:r>
    </w:p>
    <w:p>
      <w:pPr>
        <w:jc w:val="left"/>
        <w:spacing w:before="0" w:after="45"/>
      </w:pPr>
      <w:r>
        <w:rPr>
          <w:b/>
          <w:rFonts w:ascii="Aptos" w:hAnsi="Aptos"/>
          <w:color w:val="173F73"/>
          <w:sz w:val="22"/>
          <w:szCs w:val="22"/>
        </w:rPr>
        <w:t xml:space="preserve">Website and customer experience</w:t>
      </w:r>
    </w:p>
    <w:p>
      <w:pPr>
        <w:jc w:val="left"/>
        <w:spacing w:before="0" w:after="55"/>
      </w:pPr>
      <w:r>
        <w:rPr>
          <w:b/>
          <w:rFonts w:ascii="Aptos" w:hAnsi="Aptos"/>
          <w:color w:val="173F73"/>
          <w:sz w:val="18"/>
          <w:szCs w:val="18"/>
        </w:rPr>
        <w:t xml:space="preserve">• </w:t>
      </w:r>
      <w:r>
        <w:rPr>
          <w:rFonts w:ascii="Aptos" w:hAnsi="Aptos"/>
          <w:color w:val="1F2937"/>
          <w:sz w:val="17"/>
          <w:szCs w:val="17"/>
        </w:rPr>
        <w:t xml:space="preserve">Built the public website with responsive pages for home, packages, pricing, contact, driving lesson registration, and online drivers education registration.</w:t>
      </w:r>
    </w:p>
    <w:p>
      <w:pPr>
        <w:jc w:val="left"/>
        <w:spacing w:before="0" w:after="115"/>
      </w:pPr>
      <w:r>
        <w:rPr>
          <w:b/>
          <w:rFonts w:ascii="Aptos" w:hAnsi="Aptos"/>
          <w:color w:val="173F73"/>
          <w:sz w:val="18"/>
          <w:szCs w:val="18"/>
        </w:rPr>
        <w:t xml:space="preserve">• </w:t>
      </w:r>
      <w:r>
        <w:rPr>
          <w:rFonts w:ascii="Aptos" w:hAnsi="Aptos"/>
          <w:color w:val="1F2937"/>
          <w:sz w:val="17"/>
          <w:szCs w:val="17"/>
        </w:rPr>
        <w:t xml:space="preserve">Configured course packages, locations, pricing display, student enrollment views, and clear booking calls to action.</w:t>
      </w:r>
    </w:p>
    <w:p>
      <w:pPr>
        <w:jc w:val="left"/>
        <w:spacing w:before="0" w:after="45"/>
      </w:pPr>
      <w:r>
        <w:rPr>
          <w:b/>
          <w:rFonts w:ascii="Aptos" w:hAnsi="Aptos"/>
          <w:color w:val="173F73"/>
          <w:sz w:val="22"/>
          <w:szCs w:val="22"/>
        </w:rPr>
        <w:t xml:space="preserve">Administration and student management</w:t>
      </w:r>
    </w:p>
    <w:p>
      <w:pPr>
        <w:jc w:val="left"/>
        <w:spacing w:before="0" w:after="55"/>
      </w:pPr>
      <w:r>
        <w:rPr>
          <w:b/>
          <w:rFonts w:ascii="Aptos" w:hAnsi="Aptos"/>
          <w:color w:val="173F73"/>
          <w:sz w:val="18"/>
          <w:szCs w:val="18"/>
        </w:rPr>
        <w:t xml:space="preserve">• </w:t>
      </w:r>
      <w:r>
        <w:rPr>
          <w:rFonts w:ascii="Aptos" w:hAnsi="Aptos"/>
          <w:color w:val="1F2937"/>
          <w:sz w:val="17"/>
          <w:szCs w:val="17"/>
        </w:rPr>
        <w:t xml:space="preserve">Created the admin dashboard for bookings, students, courses, pricing, location settings, and manual enrollment workflows.</w:t>
      </w:r>
    </w:p>
    <w:p>
      <w:pPr>
        <w:jc w:val="left"/>
        <w:spacing w:before="0" w:after="115"/>
      </w:pPr>
      <w:r>
        <w:rPr>
          <w:b/>
          <w:rFonts w:ascii="Aptos" w:hAnsi="Aptos"/>
          <w:color w:val="173F73"/>
          <w:sz w:val="18"/>
          <w:szCs w:val="18"/>
        </w:rPr>
        <w:t xml:space="preserve">• </w:t>
      </w:r>
      <w:r>
        <w:rPr>
          <w:rFonts w:ascii="Aptos" w:hAnsi="Aptos"/>
          <w:color w:val="1F2937"/>
          <w:sz w:val="17"/>
          <w:szCs w:val="17"/>
        </w:rPr>
        <w:t xml:space="preserve">Configured Firebase authentication and administrator access, with MongoDB-backed application data and user records.</w:t>
      </w:r>
    </w:p>
    <w:p>
      <w:pPr>
        <w:jc w:val="left"/>
        <w:spacing w:before="0" w:after="45"/>
      </w:pPr>
      <w:r>
        <w:rPr>
          <w:b/>
          <w:rFonts w:ascii="Aptos" w:hAnsi="Aptos"/>
          <w:color w:val="173F73"/>
          <w:sz w:val="22"/>
          <w:szCs w:val="22"/>
        </w:rPr>
        <w:t xml:space="preserve">Payments communication and lesson scheduling</w:t>
      </w:r>
    </w:p>
    <w:p>
      <w:pPr>
        <w:jc w:val="left"/>
        <w:spacing w:before="0" w:after="55"/>
      </w:pPr>
      <w:r>
        <w:rPr>
          <w:b/>
          <w:rFonts w:ascii="Aptos" w:hAnsi="Aptos"/>
          <w:color w:val="173F73"/>
          <w:sz w:val="18"/>
          <w:szCs w:val="18"/>
        </w:rPr>
        <w:t xml:space="preserve">• </w:t>
      </w:r>
      <w:r>
        <w:rPr>
          <w:rFonts w:ascii="Aptos" w:hAnsi="Aptos"/>
          <w:color w:val="1F2937"/>
          <w:sz w:val="17"/>
          <w:szCs w:val="17"/>
        </w:rPr>
        <w:t xml:space="preserve">Integrated PayPal checkout and completed sandbox payment testing, including confirmation and payment status handling.</w:t>
      </w:r>
    </w:p>
    <w:p>
      <w:pPr>
        <w:jc w:val="left"/>
        <w:spacing w:before="0" w:after="115"/>
      </w:pPr>
      <w:r>
        <w:rPr>
          <w:b/>
          <w:rFonts w:ascii="Aptos" w:hAnsi="Aptos"/>
          <w:color w:val="173F73"/>
          <w:sz w:val="18"/>
          <w:szCs w:val="18"/>
        </w:rPr>
        <w:t xml:space="preserve">• </w:t>
      </w:r>
      <w:r>
        <w:rPr>
          <w:rFonts w:ascii="Aptos" w:hAnsi="Aptos"/>
          <w:color w:val="1F2937"/>
          <w:sz w:val="17"/>
          <w:szCs w:val="17"/>
        </w:rPr>
        <w:t xml:space="preserve">Configured email notifications and Google Calendar lesson events with student, plan, location, and reminder details.</w:t>
      </w:r>
    </w:p>
    <w:p>
      <w:pPr>
        <w:jc w:val="left"/>
        <w:spacing w:before="0" w:after="45"/>
      </w:pPr>
      <w:r>
        <w:rPr>
          <w:b/>
          <w:rFonts w:ascii="Aptos" w:hAnsi="Aptos"/>
          <w:color w:val="173F73"/>
          <w:sz w:val="22"/>
          <w:szCs w:val="22"/>
        </w:rPr>
        <w:t xml:space="preserve">Production release and handover</w:t>
      </w:r>
    </w:p>
    <w:p>
      <w:pPr>
        <w:jc w:val="left"/>
        <w:spacing w:before="0" w:after="55"/>
      </w:pPr>
      <w:r>
        <w:rPr>
          <w:b/>
          <w:rFonts w:ascii="Aptos" w:hAnsi="Aptos"/>
          <w:color w:val="173F73"/>
          <w:sz w:val="18"/>
          <w:szCs w:val="18"/>
        </w:rPr>
        <w:t xml:space="preserve">• </w:t>
      </w:r>
      <w:r>
        <w:rPr>
          <w:rFonts w:ascii="Aptos" w:hAnsi="Aptos"/>
          <w:color w:val="1F2937"/>
          <w:sz w:val="17"/>
          <w:szCs w:val="17"/>
        </w:rPr>
        <w:t xml:space="preserve">Deployed the application to Vercel, connected the custom domain, verified HTTPS access, and resolved DNS routing issues.</w:t>
      </w:r>
    </w:p>
    <w:p>
      <w:pPr>
        <w:jc w:val="left"/>
        <w:spacing w:before="0" w:after="140"/>
      </w:pPr>
      <w:r>
        <w:rPr>
          <w:b/>
          <w:rFonts w:ascii="Aptos" w:hAnsi="Aptos"/>
          <w:color w:val="173F73"/>
          <w:sz w:val="18"/>
          <w:szCs w:val="18"/>
        </w:rPr>
        <w:t xml:space="preserve">• </w:t>
      </w:r>
      <w:r>
        <w:rPr>
          <w:rFonts w:ascii="Aptos" w:hAnsi="Aptos"/>
          <w:color w:val="1F2937"/>
          <w:sz w:val="17"/>
          <w:szCs w:val="17"/>
        </w:rPr>
        <w:t xml:space="preserve">Prepared client ownership and access handover for Firebase, Vercel, MongoDB, GitHub, Resend, and related business services.</w:t>
      </w:r>
    </w:p>
    <w:p>
      <w:pPr>
        <w:jc w:val="left"/>
        <w:spacing w:before="0" w:after="0"/>
      </w:pPr>
      <w:r>
        <w:rPr>
          <w:rFonts w:ascii="Aptos" w:hAnsi="Aptos"/>
          <w:color w:val="4B5563"/>
          <w:sz w:val="15"/>
          <w:szCs w:val="15"/>
        </w:rPr>
        <w:t xml:space="preserve">Third party costs are not included in the project charge. Domain renewals, Hostinger hosting or VPS, PayPal processing fees, and any paid Vercel, MongoDB, or Resend plan are billed separately by their providers.</w:t>
      </w:r>
    </w:p>
    <w:sectPr>
      <w:pgSz w:w="12240" w:h="15840"/>
      <w:pgMar w:top="650" w:right="820" w:bottom="650" w:left="820" w:header="360" w:footer="360" w:gutter="0"/>
    </w:sectPr>
  </w:body>
</w:document>
</file>

<file path=word/styles.xml><?xml version="1.0" encoding="utf-8"?>
<w:styles xmlns:w="http://schemas.openxmlformats.org/wordprocessingml/2006/main">
  <w:docDefaults>
    <w:rPrDefault>
      <w:rPr>
        <w:rFonts w:ascii="Aptos" w:hAnsi="Aptos"/>
        <w:sz w:val="19"/>
      </w:rPr>
    </w:rPrDefault>
    <w:pPrDefault>
      <w:pPr>
        <w:spacing w:after="70" w:line="235"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Project Completion Invoice</dc:title>
  <dc:creator>Your Company Name</dc:creator>
  <dcterms:created xsi:type="dcterms:W3CDTF">2026-10-15T15:24:26.938Z</dcterms:created>
</cp:coreProperties>
</file>