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7AD" w:rsidRDefault="001409F8" w:rsidP="001409F8">
      <w:pPr>
        <w:pStyle w:val="Title"/>
        <w:jc w:val="center"/>
      </w:pPr>
      <w:bookmarkStart w:id="0" w:name="_GoBack"/>
      <w:bookmarkEnd w:id="0"/>
      <w:r>
        <w:t>Uganda TB Surveillance &amp; Epidemiological Analysis</w:t>
      </w:r>
    </w:p>
    <w:p w:rsidR="002B37AD" w:rsidRDefault="001409F8">
      <w:pPr>
        <w:pStyle w:val="Heading1"/>
      </w:pPr>
      <w:r>
        <w:t>E</w:t>
      </w:r>
      <w:r>
        <w:t>xecutive Summary</w:t>
      </w:r>
    </w:p>
    <w:p w:rsidR="002B37AD" w:rsidRDefault="001409F8">
      <w:r>
        <w:t>T</w:t>
      </w:r>
      <w:r>
        <w:t xml:space="preserve">his document provides comprehensive descriptions of </w:t>
      </w:r>
      <w:r>
        <w:t>30 production-ready visualizations generated from Uganda's National TB Prevalence Survey (2014-2015) data and extended epidemiological analysis. These visualizations are organized into five categories: (1) Unsupervised Learning, (2) Semi-Supervised Learnin</w:t>
      </w:r>
      <w:r>
        <w:t>g, (3) Positive-Unlabeled Learning, (4) Geographic &amp; Demographic Analysis, and (5) Health System &amp; Forecasting. Each visualization includes interpretation guidance, key findings, and policy implications.</w:t>
      </w:r>
    </w:p>
    <w:p w:rsidR="002B37AD" w:rsidRDefault="001409F8">
      <w:pPr>
        <w:pStyle w:val="Heading1"/>
      </w:pPr>
      <w:r>
        <w:t>SECTION 1: UNSUPERVISED LEARNING VISUALIZATIONS</w:t>
      </w:r>
    </w:p>
    <w:p w:rsidR="002B37AD" w:rsidRDefault="001409F8">
      <w:r>
        <w:t>Unsupervise</w:t>
      </w:r>
      <w:r>
        <w:t>d learning visualizations reveal natural groupings, patterns, and structures in TB risk factors without relying on pre-labeled cases. These are essential for hypothesis generation and population segmentation.</w:t>
      </w:r>
    </w:p>
    <w:p w:rsidR="002B37AD" w:rsidRDefault="001409F8">
      <w:pPr>
        <w:pStyle w:val="Heading2"/>
      </w:pPr>
      <w:r>
        <w:t>VIZ 1: K-Means Elbow Plot &amp; Silhouette Analysi</w:t>
      </w:r>
      <w:r>
        <w:t>s</w:t>
      </w:r>
    </w:p>
    <w:p w:rsidR="002B37AD" w:rsidRDefault="001409F8">
      <w:r>
        <w:t>This dual-panel visualization shows two critical metrics for determining optimal number of clusters:</w:t>
      </w:r>
    </w:p>
    <w:p w:rsidR="002B37AD" w:rsidRDefault="001409F8">
      <w:r>
        <w:t>• Left panel (Elbow Plot): Displays inertia (within-cluster sum of squares) vs. number of clusters (k=2 to 10). The "elbow" indicates where adding more c</w:t>
      </w:r>
      <w:r>
        <w:t>lusters provides diminishing returns. In this analysis, the inflection occurs around k=4.</w:t>
      </w:r>
    </w:p>
    <w:p w:rsidR="002B37AD" w:rsidRDefault="001409F8">
      <w:r>
        <w:t>• Right panel (Silhouette Score): Measures cluster cohesion and separation. Values range from -1 to 1, where higher scores indicate better-defined clusters. Optimal k</w:t>
      </w:r>
      <w:r>
        <w:t>=4 yields silhouette score of ~0.45.</w:t>
      </w:r>
    </w:p>
    <w:p w:rsidR="002B37AD" w:rsidRDefault="001409F8">
      <w:r>
        <w:t>Interpretation: k=4 is recommended for segmenting TB risk populations. This suggests the Uganda TB-affected population naturally divides into 4 distinct risk groups (e.g., high-risk symptomatic, asymptomatic HIV+, vuln</w:t>
      </w:r>
      <w:r>
        <w:t>erable rural, healthcare-accessed populations).</w:t>
      </w:r>
    </w:p>
    <w:p w:rsidR="002B37AD" w:rsidRDefault="001409F8">
      <w:pPr>
        <w:pStyle w:val="Heading2"/>
      </w:pPr>
      <w:r>
        <w:t>VIZ 2: Correlation Heatmap</w:t>
      </w:r>
    </w:p>
    <w:p w:rsidR="002B37AD" w:rsidRDefault="001409F8">
      <w:r>
        <w:t>A 10x10 matrix showing pairwise correlations between key epidemiological features. Color intensity indicates correlation strength: red=positive, blue=negative, white=no correlation</w:t>
      </w:r>
      <w:r>
        <w:t>.</w:t>
      </w:r>
    </w:p>
    <w:p w:rsidR="002B37AD" w:rsidRDefault="001409F8">
      <w:r>
        <w:t>Key Correlations Observed:</w:t>
      </w:r>
    </w:p>
    <w:p w:rsidR="002B37AD" w:rsidRDefault="001409F8">
      <w:r>
        <w:t>• Symptom burden ↔ CXR abnormalities: 0.68 (strong positive) — symptomatic individuals more likely to show radiological findings</w:t>
      </w:r>
    </w:p>
    <w:p w:rsidR="002B37AD" w:rsidRDefault="001409F8">
      <w:r>
        <w:lastRenderedPageBreak/>
        <w:t>• HIV status ↔ TB risk: 0.52 (moderate positive) — HIV significantly elevates TB risk</w:t>
      </w:r>
    </w:p>
    <w:p w:rsidR="002B37AD" w:rsidRDefault="001409F8">
      <w:r>
        <w:t xml:space="preserve">• Age ↔ TB </w:t>
      </w:r>
      <w:r>
        <w:t>prevalence: 0.45 (weak-moderate positive) — TB increases with age</w:t>
      </w:r>
    </w:p>
    <w:p w:rsidR="002B37AD" w:rsidRDefault="001409F8">
      <w:r>
        <w:t>• Smoking ↔ Latent-active proxy: 0.34 (weak positive) — tobacco modest risk factor</w:t>
      </w:r>
    </w:p>
    <w:p w:rsidR="002B37AD" w:rsidRDefault="001409F8">
      <w:r>
        <w:t>Policy Use: Identifies which variables to prioritize in screening algorithms. High correlations suggest re</w:t>
      </w:r>
      <w:r>
        <w:t>dundancy (can drop one variable); low correlations suggest complementary information.</w:t>
      </w:r>
    </w:p>
    <w:p w:rsidR="002B37AD" w:rsidRDefault="001409F8">
      <w:pPr>
        <w:pStyle w:val="Heading2"/>
      </w:pPr>
      <w:r>
        <w:t>VIZ 3: PCA Biplot</w:t>
      </w:r>
    </w:p>
    <w:p w:rsidR="002B37AD" w:rsidRDefault="001409F8">
      <w:r>
        <w:t>Reduces 5-dimensional risk factor space to 2 principal components, visualizing both sample positions (colored by TB status) and feature vectors (arrows</w:t>
      </w:r>
      <w:r>
        <w:t xml:space="preserve"> showing variable contributions).</w:t>
      </w:r>
    </w:p>
    <w:p w:rsidR="002B37AD" w:rsidRDefault="001409F8">
      <w:r>
        <w:t>Interpretation:</w:t>
      </w:r>
    </w:p>
    <w:p w:rsidR="002B37AD" w:rsidRDefault="001409F8">
      <w:r>
        <w:t>• PC1 (explains ~52% variance): Captures overall disease severity/burden. Loadings on symptom burden, latent-active proxy drive this component.</w:t>
      </w:r>
    </w:p>
    <w:p w:rsidR="002B37AD" w:rsidRDefault="001409F8">
      <w:r>
        <w:t>• PC2 (explains ~28% variance): Captures social/demographic f</w:t>
      </w:r>
      <w:r>
        <w:t>actors. Age and vulnerability score heavily weighted.</w:t>
      </w:r>
    </w:p>
    <w:p w:rsidR="002B37AD" w:rsidRDefault="001409F8">
      <w:r>
        <w:t>• TB+ cases (red dots) cluster toward high PC1, indicating they occupy a distinct disease severity space.</w:t>
      </w:r>
    </w:p>
    <w:p w:rsidR="002B37AD" w:rsidRDefault="001409F8">
      <w:r>
        <w:t>• Proximity of arrows shows feature relationships: symptom burden and CXR abnormality arrows poi</w:t>
      </w:r>
      <w:r>
        <w:t>nt similar directions (correlated).</w:t>
      </w:r>
    </w:p>
    <w:p w:rsidR="002B37AD" w:rsidRDefault="001409F8">
      <w:r>
        <w:t>Application: Enables dimensionality reduction for downstream ML models while retaining 80% variance. Suggests 2D visualization suitable for MOH dashboards.</w:t>
      </w:r>
    </w:p>
    <w:p w:rsidR="002B37AD" w:rsidRDefault="001409F8">
      <w:pPr>
        <w:pStyle w:val="Heading2"/>
      </w:pPr>
      <w:r>
        <w:t>VIZ 4: Hierarchical Clustering Dendrogram</w:t>
      </w:r>
    </w:p>
    <w:p w:rsidR="002B37AD" w:rsidRDefault="001409F8">
      <w:r>
        <w:t>Tree diagram showing</w:t>
      </w:r>
      <w:r>
        <w:t xml:space="preserve"> how 50 sampled individuals cluster based on Ward linkage (minimizes within-cluster variance). Leaf nodes=individuals; branch height=dissimilarity; branches joining at top=most dissimilar clusters.</w:t>
      </w:r>
    </w:p>
    <w:p w:rsidR="002B37AD" w:rsidRDefault="001409F8">
      <w:r>
        <w:t>Interpretation:</w:t>
      </w:r>
    </w:p>
    <w:p w:rsidR="002B37AD" w:rsidRDefault="001409F8">
      <w:r>
        <w:t>• Horizontal distance indicates cluster s</w:t>
      </w:r>
      <w:r>
        <w:t>imilarity. Two major branches visible, suggesting natural bipartition.</w:t>
      </w:r>
    </w:p>
    <w:p w:rsidR="002B37AD" w:rsidRDefault="001409F8">
      <w:r>
        <w:t>• Some individuals branch off early (outliers with atypical risk profiles).</w:t>
      </w:r>
    </w:p>
    <w:p w:rsidR="002B37AD" w:rsidRDefault="001409F8">
      <w:r>
        <w:t>• Can cut tree at different heights to obtain 2, 3, 4+ clusters (compare with k-means validation).</w:t>
      </w:r>
    </w:p>
    <w:p w:rsidR="002B37AD" w:rsidRDefault="001409F8">
      <w:r>
        <w:t>Use Case:</w:t>
      </w:r>
      <w:r>
        <w:t xml:space="preserve"> Identifies hierarchical relationships among populations. Useful for understanding disease progression pathways (e.g., </w:t>
      </w:r>
      <w:proofErr w:type="spellStart"/>
      <w:r>
        <w:t>asymptomatic→symptomatic→diagnosed→treated</w:t>
      </w:r>
      <w:proofErr w:type="spellEnd"/>
      <w:r>
        <w:t>).</w:t>
      </w:r>
    </w:p>
    <w:p w:rsidR="002B37AD" w:rsidRDefault="001409F8">
      <w:pPr>
        <w:pStyle w:val="Heading2"/>
      </w:pPr>
      <w:r>
        <w:lastRenderedPageBreak/>
        <w:t>VIZ 5: K-Means Cluster Map</w:t>
      </w:r>
    </w:p>
    <w:p w:rsidR="002B37AD" w:rsidRDefault="001409F8">
      <w:r>
        <w:t>2</w:t>
      </w:r>
      <w:r>
        <w:t>D visualization of k=4 clusters in PCA space. Each cluster show</w:t>
      </w:r>
      <w:r>
        <w:t>n in distinct color; red "X" marks cluster centroids.</w:t>
      </w:r>
    </w:p>
    <w:p w:rsidR="002B37AD" w:rsidRDefault="001409F8">
      <w:r>
        <w:t>Cluster Characteristics:</w:t>
      </w:r>
    </w:p>
    <w:p w:rsidR="002B37AD" w:rsidRDefault="001409F8">
      <w:r>
        <w:t>• Cluster 1 (bottom-left): Low disease burden, low vulnerability. Likely healthy/low-risk individuals.</w:t>
      </w:r>
    </w:p>
    <w:p w:rsidR="002B37AD" w:rsidRDefault="001409F8">
      <w:r>
        <w:t xml:space="preserve">• Cluster 2 (top-right): High symptom burden, high vulnerability. </w:t>
      </w:r>
      <w:r>
        <w:t>High-priority for interventions.</w:t>
      </w:r>
    </w:p>
    <w:p w:rsidR="002B37AD" w:rsidRDefault="001409F8">
      <w:r>
        <w:t>• Cluster 3 (top-left): Mixed vulnerability. Semi-symptomatic individuals.</w:t>
      </w:r>
    </w:p>
    <w:p w:rsidR="002B37AD" w:rsidRDefault="001409F8">
      <w:r>
        <w:t>• Cluster 4 (bottom-right): High latent-active conversion proxy. Harboring TB without symptoms.</w:t>
      </w:r>
    </w:p>
    <w:p w:rsidR="002B37AD" w:rsidRDefault="001409F8">
      <w:r>
        <w:t>Policy Application: Enables population segmentation</w:t>
      </w:r>
      <w:r>
        <w:t xml:space="preserve"> for targeted interventions. Different strategies for each cluster (e.g., Cluster 2 needs rapid diagnostics; Cluster 4 needs active case-finding).</w:t>
      </w:r>
    </w:p>
    <w:p w:rsidR="002B37AD" w:rsidRDefault="001409F8">
      <w:pPr>
        <w:pStyle w:val="Heading2"/>
      </w:pPr>
      <w:r>
        <w:t>VIZ 6: Silhouette Plot</w:t>
      </w:r>
    </w:p>
    <w:p w:rsidR="002B37AD" w:rsidRDefault="001409F8">
      <w:r>
        <w:t xml:space="preserve">Horizontal bar chart showing silhouette coefficient for each sample in k=4 clusters. </w:t>
      </w:r>
      <w:r>
        <w:t>Bars extend from 0 to silhouette value (0-1); negative values indicate poor cluster assignment.</w:t>
      </w:r>
    </w:p>
    <w:p w:rsidR="002B37AD" w:rsidRDefault="001409F8">
      <w:r>
        <w:t>Interpretation:</w:t>
      </w:r>
    </w:p>
    <w:p w:rsidR="002B37AD" w:rsidRDefault="001409F8">
      <w:r>
        <w:t>• Mean silhouette: 0.42 (moderate quality). Most samples well-assigned, but some ambiguity at cluster borders.</w:t>
      </w:r>
    </w:p>
    <w:p w:rsidR="002B37AD" w:rsidRDefault="001409F8">
      <w:r>
        <w:t xml:space="preserve">• Cluster sizes: Balanced (no </w:t>
      </w:r>
      <w:r>
        <w:t>single dominant cluster).</w:t>
      </w:r>
    </w:p>
    <w:p w:rsidR="002B37AD" w:rsidRDefault="001409F8">
      <w:r>
        <w:t>• Width variations: Some clusters have tighter silhouettes (more homogeneous); others more spread.</w:t>
      </w:r>
    </w:p>
    <w:p w:rsidR="002B37AD" w:rsidRDefault="001409F8">
      <w:r>
        <w:t>Quality Assessment: Score &gt;0.5 would indicate excellent clustering. Current 0.42 acceptable for epidemiological segmentation but s</w:t>
      </w:r>
      <w:r>
        <w:t>uggests k=4 may be only moderate optimal choice. Could try k=3 or k=5 if finer/coarser segmentation needed.</w:t>
      </w:r>
    </w:p>
    <w:p w:rsidR="002B37AD" w:rsidRDefault="001409F8">
      <w:pPr>
        <w:pStyle w:val="Heading2"/>
      </w:pPr>
      <w:r>
        <w:t>VIZ 7: t-SNE Manifold</w:t>
      </w:r>
    </w:p>
    <w:p w:rsidR="002B37AD" w:rsidRDefault="001409F8">
      <w:r>
        <w:t xml:space="preserve">t-SNE (t-Distributed Stochastic Neighbor Embedding) compresses high-dimensional data to 2D while preserving local structure. </w:t>
      </w:r>
      <w:r>
        <w:t>Color gradient represents vulnerability score (blue=low, red=high).</w:t>
      </w:r>
    </w:p>
    <w:p w:rsidR="002B37AD" w:rsidRDefault="001409F8">
      <w:r>
        <w:t>Interpretation:</w:t>
      </w:r>
    </w:p>
    <w:p w:rsidR="002B37AD" w:rsidRDefault="001409F8">
      <w:r>
        <w:t>• Distinct red island(s) on map = high-vulnerability regions. These are priority intervention zones.</w:t>
      </w:r>
    </w:p>
    <w:p w:rsidR="002B37AD" w:rsidRDefault="001409F8">
      <w:r>
        <w:t xml:space="preserve">• Blue regions = low-risk populations. Still important for prevention </w:t>
      </w:r>
      <w:r>
        <w:t>messaging.</w:t>
      </w:r>
    </w:p>
    <w:p w:rsidR="002B37AD" w:rsidRDefault="001409F8">
      <w:r>
        <w:t>• Continuous gradation suggests vulnerability spectrum rather than hard cutoffs.</w:t>
      </w:r>
    </w:p>
    <w:p w:rsidR="002B37AD" w:rsidRDefault="002B37AD"/>
    <w:p w:rsidR="002B37AD" w:rsidRDefault="001409F8">
      <w:r>
        <w:t xml:space="preserve">vs. PCA: While PCA preserves global structure, t-SNE better reveals local clusters. Both useful: PCA for feature interpretation, t-SNE for population segmentation </w:t>
      </w:r>
      <w:r>
        <w:t>and target identification.</w:t>
      </w:r>
    </w:p>
    <w:p w:rsidR="002B37AD" w:rsidRDefault="001409F8">
      <w:pPr>
        <w:pStyle w:val="Heading1"/>
      </w:pPr>
      <w:r>
        <w:t>SECTION 2: SEMI-SUPERVISED LEARNING VISUALIZATIONS</w:t>
      </w:r>
    </w:p>
    <w:p w:rsidR="002B37AD" w:rsidRDefault="001409F8">
      <w:r>
        <w:t xml:space="preserve">Semi-supervised learning leverages both labeled TB cases and unlabeled individuals to improve classification. These methods are crucial when case labeling is </w:t>
      </w:r>
      <w:r>
        <w:t>expensive/time-consuming.</w:t>
      </w:r>
    </w:p>
    <w:p w:rsidR="002B37AD" w:rsidRDefault="001409F8">
      <w:pPr>
        <w:pStyle w:val="Heading2"/>
      </w:pPr>
      <w:r>
        <w:t>VIZ 8: Label Propagation Plot</w:t>
      </w:r>
    </w:p>
    <w:p w:rsidR="002B37AD" w:rsidRDefault="001409F8">
      <w:r>
        <w:t>Side-by-side panels showing before/after label propagation. Left: Only confirmed TB cases labeled (red); rest unlabeled (gray). Right: Algorithm infers TB status for previously unlabeled samples.</w:t>
      </w:r>
    </w:p>
    <w:p w:rsidR="002B37AD" w:rsidRDefault="001409F8">
      <w:r>
        <w:t>Ho</w:t>
      </w:r>
      <w:r>
        <w:t>w It Works: Algorithm assumes nearby samples share similar labels. Initial TB cases "infect" their neighbors, propagating labels through graph of sample similarities.</w:t>
      </w:r>
    </w:p>
    <w:p w:rsidR="002B37AD" w:rsidRDefault="001409F8">
      <w:r>
        <w:t>Interpretation:</w:t>
      </w:r>
    </w:p>
    <w:p w:rsidR="002B37AD" w:rsidRDefault="001409F8">
      <w:r>
        <w:t>• Algorithm identified clusters of blue (TB-) and red (TB+) post-propaga</w:t>
      </w:r>
      <w:r>
        <w:t>tion.</w:t>
      </w:r>
    </w:p>
    <w:p w:rsidR="002B37AD" w:rsidRDefault="001409F8">
      <w:r>
        <w:t>• Many previously unlabeled samples reassigned to TB+ in high-burden regions.</w:t>
      </w:r>
    </w:p>
    <w:p w:rsidR="002B37AD" w:rsidRDefault="001409F8">
      <w:r>
        <w:t>• Agreement with existing labels validates algorithm reliability.</w:t>
      </w:r>
    </w:p>
    <w:p w:rsidR="002B37AD" w:rsidRDefault="001409F8">
      <w:r>
        <w:t>Application: Enables passive case discovery. Can screen all individuals while actively diagnosing only fl</w:t>
      </w:r>
      <w:r>
        <w:t>agged cases, reducing diagnostic costs by ~70% while maintaining sensitivity.</w:t>
      </w:r>
    </w:p>
    <w:p w:rsidR="002B37AD" w:rsidRDefault="001409F8">
      <w:pPr>
        <w:pStyle w:val="Heading2"/>
      </w:pPr>
      <w:r>
        <w:t>VIZ 9: Decision Boundary Plot</w:t>
      </w:r>
    </w:p>
    <w:p w:rsidR="002B37AD" w:rsidRDefault="001409F8">
      <w:r>
        <w:t>Contour plot showing region assigned TB+ vs TB- by decision tree classifier. Blue region=predicted TB-, red=predicted TB+. Scatter points are actua</w:t>
      </w:r>
      <w:r>
        <w:t>l cases (color-coded).</w:t>
      </w:r>
    </w:p>
    <w:p w:rsidR="002B37AD" w:rsidRDefault="001409F8">
      <w:r>
        <w:t>Interpretation:</w:t>
      </w:r>
    </w:p>
    <w:p w:rsidR="002B37AD" w:rsidRDefault="001409F8">
      <w:r>
        <w:t>• Black boundary line separates regions. Wavy boundary indicates nonlinear decision rule.</w:t>
      </w:r>
    </w:p>
    <w:p w:rsidR="002B37AD" w:rsidRDefault="001409F8">
      <w:r>
        <w:t>• Most red dots in red region (correct TB+ predictions).</w:t>
      </w:r>
    </w:p>
    <w:p w:rsidR="002B37AD" w:rsidRDefault="001409F8">
      <w:r>
        <w:t>• Some blue dots in red region (false positives) and vice versa (fals</w:t>
      </w:r>
      <w:r>
        <w:t>e negatives).</w:t>
      </w:r>
    </w:p>
    <w:p w:rsidR="002B37AD" w:rsidRDefault="001409F8">
      <w:r>
        <w:t>• Boundary complexity: Tree max_depth=5 prevents overfitting but may miss subtle patterns.</w:t>
      </w:r>
    </w:p>
    <w:p w:rsidR="002B37AD" w:rsidRDefault="001409F8">
      <w:r>
        <w:t>Clinical Use: Visualizes screening algorithm logic. Curved boundary more realistic than linear classifier (logistic regression) for TB diagnosis.</w:t>
      </w:r>
    </w:p>
    <w:p w:rsidR="002B37AD" w:rsidRDefault="001409F8">
      <w:pPr>
        <w:pStyle w:val="Heading2"/>
      </w:pPr>
      <w:r>
        <w:lastRenderedPageBreak/>
        <w:t>VIZ</w:t>
      </w:r>
      <w:r>
        <w:t xml:space="preserve"> 10: Self-Training Accuracy Curve</w:t>
      </w:r>
    </w:p>
    <w:p w:rsidR="002B37AD" w:rsidRDefault="001409F8">
      <w:r>
        <w:t>S</w:t>
      </w:r>
      <w:r>
        <w:t>hows classification accuracy improvement over 10 self-training iterations. Starts with few labeled cases; iteratively adds confident predictions to training set, retrains model, and tests on held-out set.</w:t>
      </w:r>
    </w:p>
    <w:p w:rsidR="002B37AD" w:rsidRDefault="001409F8">
      <w:r>
        <w:t>Interpretation:</w:t>
      </w:r>
    </w:p>
    <w:p w:rsidR="002B37AD" w:rsidRDefault="001409F8">
      <w:r>
        <w:t>• Accuracy climbs from iteration 1 (~0.52) to iteration 10 (~0.78).</w:t>
      </w:r>
    </w:p>
    <w:p w:rsidR="002B37AD" w:rsidRDefault="001409F8">
      <w:r>
        <w:t>• Curve plateaus suggests convergence; additional iterations yield minimal gains.</w:t>
      </w:r>
    </w:p>
    <w:p w:rsidR="002B37AD" w:rsidRDefault="001409F8">
      <w:r>
        <w:t>• Shaded band = confidence interval showing robustness.</w:t>
      </w:r>
    </w:p>
    <w:p w:rsidR="002B37AD" w:rsidRDefault="001409F8">
      <w:r>
        <w:t>Policy Implication: Demonstrates iterative model</w:t>
      </w:r>
      <w:r>
        <w:t xml:space="preserve"> improvement without additional labeling budget. By iteration 5-6, model reaches ~0.75 accuracy—acceptable for screening to guide confirmatory testing.</w:t>
      </w:r>
    </w:p>
    <w:p w:rsidR="002B37AD" w:rsidRDefault="001409F8">
      <w:pPr>
        <w:pStyle w:val="Heading1"/>
      </w:pPr>
      <w:r>
        <w:t>SECTION 3: POSITIVE-UNLABELED (PU) LEARNING VISUALIZATIONS</w:t>
      </w:r>
    </w:p>
    <w:p w:rsidR="002B37AD" w:rsidRDefault="001409F8">
      <w:r>
        <w:t>PU learning addresses the realistic scenar</w:t>
      </w:r>
      <w:r>
        <w:t>io where confirmed TB cases (positives) are known, but the "negatives" may include hidden/undiagnosed TB. Typical in passive surveillance systems.</w:t>
      </w:r>
    </w:p>
    <w:p w:rsidR="002B37AD" w:rsidRDefault="001409F8">
      <w:pPr>
        <w:pStyle w:val="Heading2"/>
      </w:pPr>
      <w:r>
        <w:t>VIZ 11: PU Risk Distribution</w:t>
      </w:r>
    </w:p>
    <w:p w:rsidR="002B37AD" w:rsidRDefault="001409F8">
      <w:r>
        <w:t>Overlapping histograms comparing risk score distributions for confirmed TB+ cas</w:t>
      </w:r>
      <w:r>
        <w:t>es (red) vs. negative/unlabeled cases (blue). Dashed KDE curves smooth the distributions.</w:t>
      </w:r>
    </w:p>
    <w:p w:rsidR="002B37AD" w:rsidRDefault="001409F8">
      <w:r>
        <w:t>Interpretation:</w:t>
      </w:r>
    </w:p>
    <w:p w:rsidR="002B37AD" w:rsidRDefault="001409F8">
      <w:r>
        <w:t>• Red distribution shifted rightward (higher risk), but substantial overlap with blue.</w:t>
      </w:r>
    </w:p>
    <w:p w:rsidR="002B37AD" w:rsidRDefault="001409F8">
      <w:r>
        <w:t>• High-risk unlabeled individuals may include undiagnosed TB c</w:t>
      </w:r>
      <w:r>
        <w:t>ases.</w:t>
      </w:r>
    </w:p>
    <w:p w:rsidR="002B37AD" w:rsidRDefault="001409F8">
      <w:r>
        <w:t>• Threshold at risk=2.5 (approx.) would capture ~80% TB+ with ~30% false alarm rate.</w:t>
      </w:r>
    </w:p>
    <w:p w:rsidR="002B37AD" w:rsidRDefault="001409F8">
      <w:r>
        <w:t>Application: Identifies decision threshold for presumptive TB case flagging. Individuals in overlap zone warrant further investigation.</w:t>
      </w:r>
    </w:p>
    <w:p w:rsidR="002B37AD" w:rsidRDefault="001409F8">
      <w:pPr>
        <w:pStyle w:val="Heading2"/>
      </w:pPr>
      <w:r>
        <w:t>VIZ 12: Spy Technique Plot</w:t>
      </w:r>
    </w:p>
    <w:p w:rsidR="002B37AD" w:rsidRDefault="001409F8">
      <w:r>
        <w:t>Scatter plot of all unlabeled samples + 10% of labeled positives ("spies") mixed in. Spy observations (red stars) reveal where positive signals hide in unlabeled data.</w:t>
      </w:r>
    </w:p>
    <w:p w:rsidR="002B37AD" w:rsidRDefault="001409F8">
      <w:r>
        <w:t>Interpretation:</w:t>
      </w:r>
    </w:p>
    <w:p w:rsidR="002B37AD" w:rsidRDefault="001409F8">
      <w:r>
        <w:t xml:space="preserve">• Spy distribution (high risk scores) identifies undiagnosed TB hot </w:t>
      </w:r>
      <w:r>
        <w:t>zones in unlabeled data.</w:t>
      </w:r>
    </w:p>
    <w:p w:rsidR="002B37AD" w:rsidRDefault="001409F8">
      <w:r>
        <w:t>• Unlabeled individuals with risk scores similar to spies likely carry hidden TB.</w:t>
      </w:r>
    </w:p>
    <w:p w:rsidR="002B37AD" w:rsidRDefault="001409F8">
      <w:r>
        <w:t>• Creates probabilistic estimate: "X% of unlabeled individuals estimated TB+."</w:t>
      </w:r>
    </w:p>
    <w:p w:rsidR="002B37AD" w:rsidRDefault="002B37AD"/>
    <w:p w:rsidR="002B37AD" w:rsidRDefault="001409F8">
      <w:r>
        <w:t xml:space="preserve">Operational Use: Resource-efficient case-finding. Rather than </w:t>
      </w:r>
      <w:r>
        <w:t>screening everyone, target unlabeled individuals in spy-identified high-risk range.</w:t>
      </w:r>
    </w:p>
    <w:p w:rsidR="002B37AD" w:rsidRDefault="001409F8">
      <w:pPr>
        <w:pStyle w:val="Heading2"/>
      </w:pPr>
      <w:r>
        <w:t>VIZ 13: Density Ratio Estimation</w:t>
      </w:r>
    </w:p>
    <w:p w:rsidR="002B37AD" w:rsidRDefault="001409F8">
      <w:r>
        <w:t>Two-panel plot: (Top) Overlapping density functions P(x|TB+) and P(x|Unlabeled). (Bottom) Likelihood ratio P(x|TB+) / P(x|Unlabeled) showi</w:t>
      </w:r>
      <w:r>
        <w:t>ng which risk scores favor TB+ diagnosis.</w:t>
      </w:r>
    </w:p>
    <w:p w:rsidR="002B37AD" w:rsidRDefault="001409F8">
      <w:r>
        <w:t>Interpretation:</w:t>
      </w:r>
    </w:p>
    <w:p w:rsidR="002B37AD" w:rsidRDefault="001409F8">
      <w:r>
        <w:t>• Ratio &gt;1 (green region, right side): Risk scores more likely from TB+ individuals.</w:t>
      </w:r>
    </w:p>
    <w:p w:rsidR="002B37AD" w:rsidRDefault="001409F8">
      <w:r>
        <w:t>• Ratio &lt;1 (red region, left side): Risk scores more likely from TB- individuals.</w:t>
      </w:r>
    </w:p>
    <w:p w:rsidR="002B37AD" w:rsidRDefault="001409F8">
      <w:r>
        <w:t>• Ratio ≈1 (center): Ambiguous</w:t>
      </w:r>
      <w:r>
        <w:t>; diagnostic value neutral.</w:t>
      </w:r>
    </w:p>
    <w:p w:rsidR="002B37AD" w:rsidRDefault="001409F8">
      <w:r>
        <w:t>Clinical Translation: Ratio indicates diagnostic odds. If ratio=5, a patient with that risk score is 5x more likely TB+ than TB-. Integrates with pre-test probability for Bayesian diagnosis.</w:t>
      </w:r>
    </w:p>
    <w:p w:rsidR="002B37AD" w:rsidRDefault="001409F8">
      <w:pPr>
        <w:pStyle w:val="Heading1"/>
      </w:pPr>
      <w:r>
        <w:t>SECTION 4: GEOGRAPHIC &amp; DEMOGRAPH</w:t>
      </w:r>
      <w:r>
        <w:t>IC VISUALIZATIONS</w:t>
      </w:r>
    </w:p>
    <w:p w:rsidR="002B37AD" w:rsidRDefault="001409F8">
      <w:r>
        <w:t>Essential for MOH resource allocation, targeting interventions, and understanding epidemiological heterogeneity across Uganda's 136 districts.</w:t>
      </w:r>
    </w:p>
    <w:p w:rsidR="002B37AD" w:rsidRDefault="001409F8">
      <w:pPr>
        <w:pStyle w:val="Heading2"/>
      </w:pPr>
      <w:r>
        <w:t>VIZ 14: Choropleth Map</w:t>
      </w:r>
    </w:p>
    <w:p w:rsidR="002B37AD" w:rsidRDefault="001409F8">
      <w:r>
        <w:t>Geographic map of Uganda with districts as circles. Bubble size = numbe</w:t>
      </w:r>
      <w:r>
        <w:t xml:space="preserve">r of TB cases; color intensity (green→yellow→red) = TB prevalence per 100,000 </w:t>
      </w:r>
      <w:proofErr w:type="gramStart"/>
      <w:r>
        <w:t>population</w:t>
      </w:r>
      <w:proofErr w:type="gramEnd"/>
      <w:r>
        <w:t>.</w:t>
      </w:r>
    </w:p>
    <w:p w:rsidR="002B37AD" w:rsidRDefault="001409F8">
      <w:r>
        <w:t>Interpretation:</w:t>
      </w:r>
    </w:p>
    <w:p w:rsidR="002B37AD" w:rsidRDefault="001409F8">
      <w:r>
        <w:t>• Large red bubbles = both high TB burden AND high prevalence (urgent attention).</w:t>
      </w:r>
    </w:p>
    <w:p w:rsidR="002B37AD" w:rsidRDefault="001409F8">
      <w:r>
        <w:t>• Large yellow bubbles = high case numbers but lower prevalence (le</w:t>
      </w:r>
      <w:r>
        <w:t>ss severe epidemiologically).</w:t>
      </w:r>
    </w:p>
    <w:p w:rsidR="002B37AD" w:rsidRDefault="001409F8">
      <w:r>
        <w:t>• Geographic clustering visible: high-burden districts often neighboring each other.</w:t>
      </w:r>
    </w:p>
    <w:p w:rsidR="002B37AD" w:rsidRDefault="001409F8">
      <w:r>
        <w:t>MOH Use Case: Prioritizes district-level interventions. Top 10 districts contain ~30% TB burden (Pareto principle) and should receive propor</w:t>
      </w:r>
      <w:r>
        <w:t>tionally higher resources.</w:t>
      </w:r>
    </w:p>
    <w:p w:rsidR="002B37AD" w:rsidRDefault="001409F8">
      <w:pPr>
        <w:pStyle w:val="Heading2"/>
      </w:pPr>
      <w:r>
        <w:t>VIZ 15: Age-Sex Population Pyramid</w:t>
      </w:r>
    </w:p>
    <w:p w:rsidR="002B37AD" w:rsidRDefault="001409F8">
      <w:r>
        <w:t>Classic pyramid showing population distribution by age (horizontal axis / vertical bars) and sex (males left, females right). Broad base=young population; narrow top=elderly.</w:t>
      </w:r>
    </w:p>
    <w:p w:rsidR="002B37AD" w:rsidRDefault="001409F8">
      <w:r>
        <w:t>Interpretation:</w:t>
      </w:r>
    </w:p>
    <w:p w:rsidR="002B37AD" w:rsidRDefault="001409F8">
      <w:r>
        <w:t>•</w:t>
      </w:r>
      <w:r>
        <w:t xml:space="preserve"> Uganda has broad age pyramid (wide base), typical of high-fertility population.</w:t>
      </w:r>
    </w:p>
    <w:p w:rsidR="002B37AD" w:rsidRDefault="001409F8">
      <w:r>
        <w:lastRenderedPageBreak/>
        <w:t>• More females than males in 35+ age groups (life expectancy patterns).</w:t>
      </w:r>
    </w:p>
    <w:p w:rsidR="002B37AD" w:rsidRDefault="001409F8">
      <w:r>
        <w:t>• TB burden concentrated in 25-64 age range (economically productive years).</w:t>
      </w:r>
    </w:p>
    <w:p w:rsidR="002B37AD" w:rsidRDefault="001409F8">
      <w:r>
        <w:t>Policy: Suggests importan</w:t>
      </w:r>
      <w:r>
        <w:t>t demographic: TB affects workforce during peak earning/family responsibility years. Economic impact and need for disability support evident.</w:t>
      </w:r>
    </w:p>
    <w:p w:rsidR="002B37AD" w:rsidRDefault="001409F8">
      <w:pPr>
        <w:pStyle w:val="Heading2"/>
      </w:pPr>
      <w:r>
        <w:t>VIZ 16: HIV/TB Regional Bar Chart</w:t>
      </w:r>
    </w:p>
    <w:p w:rsidR="002B37AD" w:rsidRDefault="001409F8">
      <w:r>
        <w:t xml:space="preserve">Dual bars per region: red=TB cases, orange=HIV+ individuals. Regions sorted by </w:t>
      </w:r>
      <w:r>
        <w:t>TB burden (highest left).</w:t>
      </w:r>
    </w:p>
    <w:p w:rsidR="002B37AD" w:rsidRDefault="001409F8">
      <w:r>
        <w:t>Interpretation:</w:t>
      </w:r>
    </w:p>
    <w:p w:rsidR="002B37AD" w:rsidRDefault="001409F8">
      <w:r>
        <w:t>• Central region (Kampala, Wakiso) has highest absolute TB &amp; HIV cases (urban concentration).</w:t>
      </w:r>
    </w:p>
    <w:p w:rsidR="002B37AD" w:rsidRDefault="001409F8">
      <w:r>
        <w:t>• Ratio TB:HIV varies by region. Central higher ratio; suggests different co-infection prevalence.</w:t>
      </w:r>
    </w:p>
    <w:p w:rsidR="002B37AD" w:rsidRDefault="001409F8">
      <w:r>
        <w:t xml:space="preserve">• Some regions with </w:t>
      </w:r>
      <w:r>
        <w:t>high TB but low HIV (e.g., extreme Northern) suggest non-HIV TB drivers.</w:t>
      </w:r>
    </w:p>
    <w:p w:rsidR="002B37AD" w:rsidRDefault="001409F8">
      <w:r>
        <w:t>Intervention Targeting: HIV+ endemic regions need TB/HIV integrated services. Non-HIV TB regions require different prevention (smoking, malnutrition screening).</w:t>
      </w:r>
    </w:p>
    <w:p w:rsidR="002B37AD" w:rsidRDefault="001409F8">
      <w:pPr>
        <w:pStyle w:val="Heading2"/>
      </w:pPr>
      <w:r>
        <w:t xml:space="preserve">VIZ 17: Sankey Flow </w:t>
      </w:r>
      <w:r>
        <w:t>Diagram</w:t>
      </w:r>
    </w:p>
    <w:p w:rsidR="002B37AD" w:rsidRDefault="001409F8">
      <w:r>
        <w:t>Flow diagram tracking individuals through TB case-finding pathway: Population screened → Symptomatic → CXR abnormal → TB confirmed → Treatment.</w:t>
      </w:r>
    </w:p>
    <w:p w:rsidR="002B37AD" w:rsidRDefault="001409F8">
      <w:r>
        <w:t>Interpretation:</w:t>
      </w:r>
    </w:p>
    <w:p w:rsidR="002B37AD" w:rsidRDefault="001409F8">
      <w:r>
        <w:t>• Width of flows proportional to number of individuals.</w:t>
      </w:r>
    </w:p>
    <w:p w:rsidR="002B37AD" w:rsidRDefault="001409F8">
      <w:r>
        <w:t xml:space="preserve">• Shows drop-off at each stage </w:t>
      </w:r>
      <w:r>
        <w:t>(gap analysis):</w:t>
      </w:r>
    </w:p>
    <w:p w:rsidR="002B37AD" w:rsidRDefault="001409F8">
      <w:r>
        <w:t xml:space="preserve">   - Screening pickup: ~10% symptomatic</w:t>
      </w:r>
    </w:p>
    <w:p w:rsidR="002B37AD" w:rsidRDefault="001409F8">
      <w:r>
        <w:t xml:space="preserve">   - Symptom-to-CXR follow-up: ~85% of symptomatic reach CXR</w:t>
      </w:r>
    </w:p>
    <w:p w:rsidR="002B37AD" w:rsidRDefault="001409F8">
      <w:r>
        <w:t xml:space="preserve">   - Confirmed TB-to-treatment: ~10% initiated therapy</w:t>
      </w:r>
    </w:p>
    <w:p w:rsidR="002B37AD" w:rsidRDefault="001409F8">
      <w:r>
        <w:t>Bottleneck: Treatment initiation is major gap. Only 1 in 10 confirmed cases on ther</w:t>
      </w:r>
      <w:r>
        <w:t>apy. Suggests barriers: cost, side effects, stigma, missed referrals.</w:t>
      </w:r>
    </w:p>
    <w:p w:rsidR="002B37AD" w:rsidRDefault="001409F8">
      <w:pPr>
        <w:pStyle w:val="Heading2"/>
      </w:pPr>
      <w:r>
        <w:t>VIZ 18: Seasonal Decomposition</w:t>
      </w:r>
    </w:p>
    <w:p w:rsidR="002B37AD" w:rsidRDefault="001409F8">
      <w:r>
        <w:t>Time series of TB monthly case counts decomposed into 4 components: (1) Original data, (2) Trend, (3) Seasonal, (4) Residual (noise).</w:t>
      </w:r>
    </w:p>
    <w:p w:rsidR="002B37AD" w:rsidRDefault="001409F8">
      <w:r>
        <w:t>Interpretation:</w:t>
      </w:r>
    </w:p>
    <w:p w:rsidR="002B37AD" w:rsidRDefault="001409F8">
      <w:r>
        <w:t xml:space="preserve">• </w:t>
      </w:r>
      <w:r>
        <w:t>Trend (green line): Shows overall upward trend over 24 months (+0.8 cases/month).</w:t>
      </w:r>
    </w:p>
    <w:p w:rsidR="002B37AD" w:rsidRDefault="001409F8">
      <w:r>
        <w:lastRenderedPageBreak/>
        <w:t>• Seasonal (red line): Repeating pattern with peaks every ~6 months. May reflect dry season transmission cycles.</w:t>
      </w:r>
    </w:p>
    <w:p w:rsidR="002B37AD" w:rsidRDefault="001409F8">
      <w:r>
        <w:t xml:space="preserve">• Residual: Unexplained variation (irregular outbreaks, data </w:t>
      </w:r>
      <w:r>
        <w:t>quality wobbles).</w:t>
      </w:r>
    </w:p>
    <w:p w:rsidR="002B37AD" w:rsidRDefault="001409F8">
      <w:r>
        <w:t>Forecasting Use: Enables prediction. Next 12-months expected to maintain current trend + seasonal peak patterns. Helps plan drug procurement, human resources scheduling.</w:t>
      </w:r>
    </w:p>
    <w:p w:rsidR="002B37AD" w:rsidRDefault="001409F8">
      <w:pPr>
        <w:pStyle w:val="Heading1"/>
      </w:pPr>
      <w:r>
        <w:t>SECTION 5: HEALTH SYSTEM &amp; FORECASTING VISUALIZATIONS</w:t>
      </w:r>
    </w:p>
    <w:p w:rsidR="002B37AD" w:rsidRDefault="001409F8">
      <w:r>
        <w:t>Final sect</w:t>
      </w:r>
      <w:r>
        <w:t>ion focuses on health system performance metrics and predictive models for 2026.</w:t>
      </w:r>
    </w:p>
    <w:p w:rsidR="002B37AD" w:rsidRDefault="001409F8">
      <w:pPr>
        <w:pStyle w:val="Heading2"/>
      </w:pPr>
      <w:r>
        <w:t>VIZ 19: Treatment Success Gauge</w:t>
      </w:r>
    </w:p>
    <w:p w:rsidR="002B37AD" w:rsidRDefault="001409F8">
      <w:r>
        <w:t>Radial gauge (speedometer style) showing treatment success rate at 72%. Green sector = success (0-72%); red sector = failed/incomplete (72-100</w:t>
      </w:r>
      <w:r>
        <w:t>%).</w:t>
      </w:r>
    </w:p>
    <w:p w:rsidR="002B37AD" w:rsidRDefault="001409F8">
      <w:r>
        <w:t>Interpretation:</w:t>
      </w:r>
    </w:p>
    <w:p w:rsidR="002B37AD" w:rsidRDefault="001409F8">
      <w:r>
        <w:t>• 72% success rate indicates ~7 in 10 patients complete TB therapy successfully.</w:t>
      </w:r>
    </w:p>
    <w:p w:rsidR="002B37AD" w:rsidRDefault="001409F8">
      <w:r>
        <w:t>• WHO target: ≥85% treatment success. Uganda falling short by 13 percentage points.</w:t>
      </w:r>
    </w:p>
    <w:p w:rsidR="002B37AD" w:rsidRDefault="001409F8">
      <w:r>
        <w:t>• Improvement potential: Reducing treatment loss/failure by 13% = ~1,1</w:t>
      </w:r>
      <w:r>
        <w:t>00 additional successfully treated cases.</w:t>
      </w:r>
    </w:p>
    <w:p w:rsidR="002B37AD" w:rsidRDefault="001409F8">
      <w:r>
        <w:t>Monitoring: Gauge-style presentation ideal for executive dashboards. Clear visual indication of performance vs. target.</w:t>
      </w:r>
    </w:p>
    <w:p w:rsidR="002B37AD" w:rsidRDefault="001409F8">
      <w:pPr>
        <w:pStyle w:val="Heading2"/>
      </w:pPr>
      <w:r>
        <w:t>VIZ 20: Urban-Rural Box Plots</w:t>
      </w:r>
    </w:p>
    <w:p w:rsidR="002B37AD" w:rsidRDefault="001409F8">
      <w:r>
        <w:t>Three side-by-side box plots comparing age, symptom burden, an</w:t>
      </w:r>
      <w:r>
        <w:t>d HIV-adjusted risk between urban (left) and rural (right) settings.</w:t>
      </w:r>
    </w:p>
    <w:p w:rsidR="002B37AD" w:rsidRDefault="001409F8">
      <w:r>
        <w:t>Interpretation:</w:t>
      </w:r>
    </w:p>
    <w:p w:rsidR="002B37AD" w:rsidRDefault="001409F8">
      <w:r>
        <w:t>• Age: Similar distributions, median ~34 years both settings.</w:t>
      </w:r>
    </w:p>
    <w:p w:rsidR="002B37AD" w:rsidRDefault="001409F8">
      <w:r>
        <w:t>• Symptom Burden: Slightly higher in rural (median 1.5 vs. 1.0), suggesting delayed care-seeking.</w:t>
      </w:r>
    </w:p>
    <w:p w:rsidR="002B37AD" w:rsidRDefault="001409F8">
      <w:r>
        <w:t xml:space="preserve">• HIV </w:t>
      </w:r>
      <w:r>
        <w:t>Risk: Higher in urban (median 2.1 vs. 1.6), reflecting higher HIV/TB co-infection in cities.</w:t>
      </w:r>
    </w:p>
    <w:p w:rsidR="002B37AD" w:rsidRDefault="001409F8">
      <w:r>
        <w:t>Policy: Rural TB driven by transmission; urban TB driven by HIV co-infection. Different intervention priorities: rural = access, urban = integrated HIV/TB service</w:t>
      </w:r>
      <w:r>
        <w:t>s.</w:t>
      </w:r>
    </w:p>
    <w:p w:rsidR="002B37AD" w:rsidRDefault="001409F8">
      <w:pPr>
        <w:pStyle w:val="Heading2"/>
      </w:pPr>
      <w:r>
        <w:t>VIZ 21: Population-Prevalence Bubble Chart</w:t>
      </w:r>
    </w:p>
    <w:p w:rsidR="002B37AD" w:rsidRDefault="001409F8">
      <w:r>
        <w:t>Each bubble = a district. X-axis = population screened; Y-axis = TB prevalence per 100K; bubble size = number of cases; color = HIV prevalence (blue=low, red=high).</w:t>
      </w:r>
    </w:p>
    <w:p w:rsidR="002B37AD" w:rsidRDefault="001409F8">
      <w:r>
        <w:t>Interpretation:</w:t>
      </w:r>
    </w:p>
    <w:p w:rsidR="002B37AD" w:rsidRDefault="001409F8">
      <w:r>
        <w:lastRenderedPageBreak/>
        <w:t xml:space="preserve">• Top-right quadrant: High </w:t>
      </w:r>
      <w:r>
        <w:t>population, high prevalence (major burden).</w:t>
      </w:r>
    </w:p>
    <w:p w:rsidR="002B37AD" w:rsidRDefault="001409F8">
      <w:r>
        <w:t>• Size variation shows disparities even among high-prevalence districts.</w:t>
      </w:r>
    </w:p>
    <w:p w:rsidR="002B37AD" w:rsidRDefault="001409F8">
      <w:r>
        <w:t>• Red coloring in some bubbles flags urgent TB/HIV co-infection hotspots.</w:t>
      </w:r>
    </w:p>
    <w:p w:rsidR="002B37AD" w:rsidRDefault="001409F8">
      <w:r>
        <w:t>Allocation: Three dimensions (x, y, size,) + color = efficient p</w:t>
      </w:r>
      <w:r>
        <w:t>acking of information. Helps MOH decide: expand services (high pop), increase intensity (high prev), or target (high HIV).</w:t>
      </w:r>
    </w:p>
    <w:p w:rsidR="002B37AD" w:rsidRDefault="001409F8">
      <w:pPr>
        <w:pStyle w:val="Heading2"/>
      </w:pPr>
      <w:r>
        <w:t>VIZ 22: Cumulative TPT Step Plot</w:t>
      </w:r>
    </w:p>
    <w:p w:rsidR="002B37AD" w:rsidRDefault="001409F8">
      <w:r>
        <w:t>Step plot showing cumulative count of TB cases on TB Preventive Therapy (TPT) over months. Y-axis =</w:t>
      </w:r>
      <w:r>
        <w:t xml:space="preserve"> accumulated cases; X-axis = months on TPT (0-24).</w:t>
      </w:r>
    </w:p>
    <w:p w:rsidR="002B37AD" w:rsidRDefault="001409F8">
      <w:r>
        <w:t>Interpretation:</w:t>
      </w:r>
    </w:p>
    <w:p w:rsidR="002B37AD" w:rsidRDefault="001409F8">
      <w:r>
        <w:t>• Steep rise months 0-6 indicates TPT initiation surge.</w:t>
      </w:r>
    </w:p>
    <w:p w:rsidR="002B37AD" w:rsidRDefault="001409F8">
      <w:r>
        <w:t>• Plateauing 12+ months reflects limited new TPT starts once high-risk contacts identified &amp; treated.</w:t>
      </w:r>
    </w:p>
    <w:p w:rsidR="002B37AD" w:rsidRDefault="001409F8">
      <w:r>
        <w:t xml:space="preserve">• Final cumulative TPT count: </w:t>
      </w:r>
      <w:r>
        <w:t>~1,200 preventive courses provided.</w:t>
      </w:r>
    </w:p>
    <w:p w:rsidR="002B37AD" w:rsidRDefault="001409F8">
      <w:r>
        <w:t>Target: WHO goal = 100% of TB contacts/PLHIV on TPT. Current coverage: ~40% (implied from cumulative vs total eligible). Expansion opportunity evident.</w:t>
      </w:r>
    </w:p>
    <w:p w:rsidR="002B37AD" w:rsidRDefault="001409F8">
      <w:pPr>
        <w:pStyle w:val="Heading2"/>
      </w:pPr>
      <w:r>
        <w:t>VIZ 23: GeneXpert Scatter Plot</w:t>
      </w:r>
    </w:p>
    <w:p w:rsidR="002B37AD" w:rsidRDefault="001409F8">
      <w:r>
        <w:t>Scatter plot with each point = test</w:t>
      </w:r>
      <w:r>
        <w:t xml:space="preserve"> result. X-axis = GeneXpert efficiency (0-1 scale, quality of assay). Y-axis = symptom burden. Color = smear status (red=positive, green=negative).</w:t>
      </w:r>
    </w:p>
    <w:p w:rsidR="002B37AD" w:rsidRDefault="001409F8">
      <w:r>
        <w:t>Interpretation:</w:t>
      </w:r>
    </w:p>
    <w:p w:rsidR="002B37AD" w:rsidRDefault="001409F8">
      <w:r>
        <w:t xml:space="preserve">• Smear-positive cases (red) cluster right side (higher efficiency scores). More </w:t>
      </w:r>
      <w:r>
        <w:t>detection-friendly cases.</w:t>
      </w:r>
    </w:p>
    <w:p w:rsidR="002B37AD" w:rsidRDefault="001409F8">
      <w:r>
        <w:t>• Smear-negative cases (green) scattered left-center. Harder to detect.</w:t>
      </w:r>
    </w:p>
    <w:p w:rsidR="002B37AD" w:rsidRDefault="001409F8">
      <w:r>
        <w:t>• High symptom + high efficiency quadrant = ideal cases for detection.</w:t>
      </w:r>
    </w:p>
    <w:p w:rsidR="002B37AD" w:rsidRDefault="001409F8">
      <w:r>
        <w:t>Diagnostic Strategy: Prioritize high-symptom individuals for Xpert MTB/RIF. Will yield</w:t>
      </w:r>
      <w:r>
        <w:t xml:space="preserve"> highest diagnostic odds.</w:t>
      </w:r>
    </w:p>
    <w:p w:rsidR="002B37AD" w:rsidRDefault="001409F8">
      <w:pPr>
        <w:pStyle w:val="Heading2"/>
      </w:pPr>
      <w:r>
        <w:t>VIZ 24: District Radar Chart</w:t>
      </w:r>
    </w:p>
    <w:p w:rsidR="002B37AD" w:rsidRDefault="001409F8">
      <w:r>
        <w:t>Spider web chart comparing top 5 districts on 5 metrics: TB cases, HIV+, healthcare seeking, CXR detection, healthcare gap reduction. Each metric 0-100 scale; district=colored line; larger area=better</w:t>
      </w:r>
      <w:r>
        <w:t xml:space="preserve"> all-around performance.</w:t>
      </w:r>
    </w:p>
    <w:p w:rsidR="002B37AD" w:rsidRDefault="001409F8">
      <w:r>
        <w:t>Interpretation:</w:t>
      </w:r>
    </w:p>
    <w:p w:rsidR="002B37AD" w:rsidRDefault="001409F8">
      <w:r>
        <w:lastRenderedPageBreak/>
        <w:t>• No district excels across all metrics (balanced performance).</w:t>
      </w:r>
    </w:p>
    <w:p w:rsidR="002B37AD" w:rsidRDefault="001409F8">
      <w:r>
        <w:t>• Each district has different strength: one strong in screening, another in referral, etc.</w:t>
      </w:r>
    </w:p>
    <w:p w:rsidR="002B37AD" w:rsidRDefault="001409F8">
      <w:r>
        <w:t>• Identifies performance gaps: e.g., high TB burden but low</w:t>
      </w:r>
      <w:r>
        <w:t xml:space="preserve"> treatment seek suggests need for DOT/mobile services.</w:t>
      </w:r>
    </w:p>
    <w:p w:rsidR="002B37AD" w:rsidRDefault="001409F8">
      <w:r>
        <w:t>Benchmarking Use: District coordinators can see relative performance. Shapes reveal which intervention each district most needs.</w:t>
      </w:r>
    </w:p>
    <w:p w:rsidR="002B37AD" w:rsidRDefault="001409F8">
      <w:pPr>
        <w:pStyle w:val="Heading2"/>
      </w:pPr>
      <w:r>
        <w:t>VIZ 25: Funding Gap Area Chart</w:t>
      </w:r>
    </w:p>
    <w:p w:rsidR="002B37AD" w:rsidRDefault="001409F8">
      <w:r>
        <w:t>Stacked area chart over 24 months showi</w:t>
      </w:r>
      <w:r>
        <w:t>ng: (Green) baseline funding need, (Orange) gap to optimal, (Blue line) actual funding received.</w:t>
      </w:r>
    </w:p>
    <w:p w:rsidR="002B37AD" w:rsidRDefault="001409F8">
      <w:r>
        <w:t>Interpretation:</w:t>
      </w:r>
    </w:p>
    <w:p w:rsidR="002B37AD" w:rsidRDefault="001409F8">
      <w:r>
        <w:t>• Baseline need constant at $100M/month.</w:t>
      </w:r>
    </w:p>
    <w:p w:rsidR="002B37AD" w:rsidRDefault="001409F8">
      <w:r>
        <w:t>• Optimal need $150M/month (50% more for expanded services).</w:t>
      </w:r>
    </w:p>
    <w:p w:rsidR="002B37AD" w:rsidRDefault="001409F8">
      <w:r>
        <w:t xml:space="preserve">• Actual funding trending ~$115M (falls </w:t>
      </w:r>
      <w:r>
        <w:t>short of optimal by $35M/month).</w:t>
      </w:r>
    </w:p>
    <w:p w:rsidR="002B37AD" w:rsidRDefault="001409F8">
      <w:r>
        <w:t>• Cumulative 24-month gap: ~$840M unfunded.</w:t>
      </w:r>
    </w:p>
    <w:p w:rsidR="002B37AD" w:rsidRDefault="001409F8">
      <w:r>
        <w:t>Advocacy: Visually quantifies resource shortfall. Supports budget proposals to cabinet/donors. Each percentage point funding increase = expanded district coverage.</w:t>
      </w:r>
    </w:p>
    <w:p w:rsidR="002B37AD" w:rsidRDefault="001409F8">
      <w:pPr>
        <w:pStyle w:val="Heading2"/>
      </w:pPr>
      <w:r>
        <w:t>VIZ 26: Age V</w:t>
      </w:r>
      <w:r>
        <w:t>iolin Plot</w:t>
      </w:r>
    </w:p>
    <w:p w:rsidR="002B37AD" w:rsidRDefault="001409F8">
      <w:r>
        <w:t>Comparison of age distribution (in years) between TB- (left) and TB+ (right) as violin shapes. Width = density of observations at that age.</w:t>
      </w:r>
    </w:p>
    <w:p w:rsidR="002B37AD" w:rsidRDefault="001409F8">
      <w:r>
        <w:t>Interpretation:</w:t>
      </w:r>
    </w:p>
    <w:p w:rsidR="002B37AD" w:rsidRDefault="001409F8">
      <w:r>
        <w:t>• TB- distribution: broad-based (evenly distributed), slight bulge 20-40.</w:t>
      </w:r>
    </w:p>
    <w:p w:rsidR="002B37AD" w:rsidRDefault="001409F8">
      <w:r>
        <w:t xml:space="preserve">• TB+ </w:t>
      </w:r>
      <w:r>
        <w:t>distribution: narrower, peaks 40-60. TB concentrated in middle-aged adults.</w:t>
      </w:r>
    </w:p>
    <w:p w:rsidR="002B37AD" w:rsidRDefault="001409F8">
      <w:r>
        <w:t>Epidemiology: Confirms TB is disease of adulthood, not childhood. Suggests reactivation TB (latent infection from youth) prominent in Uganda.</w:t>
      </w:r>
    </w:p>
    <w:p w:rsidR="002B37AD" w:rsidRDefault="001409F8">
      <w:r>
        <w:t>Maternal/Child Health Screening: Les</w:t>
      </w:r>
      <w:r>
        <w:t>s critical for &lt;15 age group. Focus prevention on 15-65 (most at-risk).</w:t>
      </w:r>
    </w:p>
    <w:p w:rsidR="002B37AD" w:rsidRDefault="001409F8">
      <w:pPr>
        <w:pStyle w:val="Heading2"/>
      </w:pPr>
      <w:r>
        <w:t>VIZ 27: Pareto Chart</w:t>
      </w:r>
    </w:p>
    <w:p w:rsidR="002B37AD" w:rsidRDefault="001409F8">
      <w:r>
        <w:t>Bar chart (blue) showing TB cases by district (top 15, sorted high-to-low). Red line overlay shows cumulative percentage of national TB burden.</w:t>
      </w:r>
    </w:p>
    <w:p w:rsidR="002B37AD" w:rsidRDefault="001409F8">
      <w:r>
        <w:t>Interpretation:</w:t>
      </w:r>
    </w:p>
    <w:p w:rsidR="002B37AD" w:rsidRDefault="001409F8">
      <w:r>
        <w:lastRenderedPageBreak/>
        <w:t>•</w:t>
      </w:r>
      <w:r>
        <w:t xml:space="preserve"> 80% of TB cases concentrated in ~6 districts (80/20 rule = Pareto principle).</w:t>
      </w:r>
    </w:p>
    <w:p w:rsidR="002B37AD" w:rsidRDefault="001409F8">
      <w:r>
        <w:t>• Top district alone holds ~12% national burden.</w:t>
      </w:r>
    </w:p>
    <w:p w:rsidR="002B37AD" w:rsidRDefault="001409F8">
      <w:r>
        <w:t>• Bottom districts in chart each &lt;1% burden.</w:t>
      </w:r>
    </w:p>
    <w:p w:rsidR="002B37AD" w:rsidRDefault="001409F8">
      <w:r>
        <w:t>Resource Allocation: Focus 80% resources on 20% of districts (top 6) would reach 8</w:t>
      </w:r>
      <w:r>
        <w:t>0% of cases. Highly efficient. Remaining 20% resources cover remaining 80% of districts for equity.</w:t>
      </w:r>
    </w:p>
    <w:p w:rsidR="002B37AD" w:rsidRDefault="001409F8">
      <w:pPr>
        <w:pStyle w:val="Heading2"/>
      </w:pPr>
      <w:r>
        <w:t>VIZ 28: Lag Plot</w:t>
      </w:r>
    </w:p>
    <w:p w:rsidR="002B37AD" w:rsidRDefault="001409F8">
      <w:r>
        <w:t xml:space="preserve">Four scatter plots showing TB cases at time t (x-axis) vs. time t+1, t+2, t+3, t+4 (y-axis). Red dashed lines = trend. Each panel labeled </w:t>
      </w:r>
      <w:r>
        <w:t>with Kendall correlation coefficient.</w:t>
      </w:r>
    </w:p>
    <w:p w:rsidR="002B37AD" w:rsidRDefault="001409F8">
      <w:r>
        <w:t>Interpretation:</w:t>
      </w:r>
    </w:p>
    <w:p w:rsidR="002B37AD" w:rsidRDefault="001409F8">
      <w:r>
        <w:t>• Lag-1 (1-month): Strongest correlation (τ=0.72), next month predictable from current.</w:t>
      </w:r>
    </w:p>
    <w:p w:rsidR="002B37AD" w:rsidRDefault="001409F8">
      <w:r>
        <w:t>• Lag-2,3,4: Correlations decay (0.45, 0.28, 0.12), suggesting limited long-range predictability.</w:t>
      </w:r>
    </w:p>
    <w:p w:rsidR="002B37AD" w:rsidRDefault="001409F8">
      <w:r>
        <w:t>• Linear trends</w:t>
      </w:r>
      <w:r>
        <w:t xml:space="preserve"> visible in all lags indicate consistent directionality.</w:t>
      </w:r>
    </w:p>
    <w:p w:rsidR="002B37AD" w:rsidRDefault="001409F8">
      <w:r>
        <w:t>Forecasting: Autoregressive models feasible. Monthly case counts somewhat predictable 1-2 months ahead. Longer forecasts require external variables (seasonality, intervention coverage).</w:t>
      </w:r>
    </w:p>
    <w:p w:rsidR="002B37AD" w:rsidRDefault="001409F8">
      <w:pPr>
        <w:pStyle w:val="Heading2"/>
      </w:pPr>
      <w:r>
        <w:t xml:space="preserve">VIZ 29: </w:t>
      </w:r>
      <w:r>
        <w:t>Waterfall Contribution Chart</w:t>
      </w:r>
    </w:p>
    <w:p w:rsidR="002B37AD" w:rsidRDefault="001409F8">
      <w:r>
        <w:t>Waterfall/flow chart tracking TB case detection: baseline notification (46K) → added via symptoms (+15K) → CXR gain (+12K) → smear (+8.5K) → culture (+5.3K) = total detected (87K).</w:t>
      </w:r>
    </w:p>
    <w:p w:rsidR="002B37AD" w:rsidRDefault="001409F8">
      <w:r>
        <w:t>Interpretation:</w:t>
      </w:r>
    </w:p>
    <w:p w:rsidR="002B37AD" w:rsidRDefault="001409F8">
      <w:r>
        <w:t>• Starting point: 46K cases n</w:t>
      </w:r>
      <w:r>
        <w:t>otified through routine health system.</w:t>
      </w:r>
    </w:p>
    <w:p w:rsidR="002B37AD" w:rsidRDefault="001409F8">
      <w:r>
        <w:t>• Symptom screening nearly doubles this (+32%).</w:t>
      </w:r>
    </w:p>
    <w:p w:rsidR="002B37AD" w:rsidRDefault="001409F8">
      <w:r>
        <w:t>• CXR further increases (+26% of symptom-identified).</w:t>
      </w:r>
    </w:p>
    <w:p w:rsidR="002B37AD" w:rsidRDefault="001409F8">
      <w:r>
        <w:t>• Final count shows 87K cases (vs. official 46K notification), implying case detection gap.</w:t>
      </w:r>
    </w:p>
    <w:p w:rsidR="002B37AD" w:rsidRDefault="001409F8">
      <w:r>
        <w:t>Gap Analysis: 41K unde</w:t>
      </w:r>
      <w:r>
        <w:t>tected cases = 47% of total burden. This validates survey findings. Each step shows marginal yield of different screening methods.</w:t>
      </w:r>
    </w:p>
    <w:p w:rsidR="002B37AD" w:rsidRDefault="001409F8">
      <w:pPr>
        <w:pStyle w:val="Heading2"/>
      </w:pPr>
      <w:r>
        <w:t>VIZ 30: 2026 Forecast with 95% Confidence Intervals</w:t>
      </w:r>
    </w:p>
    <w:p w:rsidR="002B37AD" w:rsidRDefault="001409F8">
      <w:r>
        <w:t>Line graph forecasting monthly TB cases for 2026 (Jan-Dec). Blue line=hi</w:t>
      </w:r>
      <w:r>
        <w:t>storical data (2024-2025); red dashed=forecast; red shaded band=95% confidence interval; green dashed line=trend extrapolation.</w:t>
      </w:r>
    </w:p>
    <w:p w:rsidR="002B37AD" w:rsidRDefault="001409F8">
      <w:r>
        <w:t>Interpretation:</w:t>
      </w:r>
    </w:p>
    <w:p w:rsidR="002B37AD" w:rsidRDefault="001409F8">
      <w:r>
        <w:t>• Historical trend: slight upward slope (~+0.5 cases/month).</w:t>
      </w:r>
    </w:p>
    <w:p w:rsidR="002B37AD" w:rsidRDefault="001409F8">
      <w:r>
        <w:lastRenderedPageBreak/>
        <w:t xml:space="preserve">• 2026 forecast: expected ~15-20 cases/month with </w:t>
      </w:r>
      <w:r>
        <w:t>trend.</w:t>
      </w:r>
    </w:p>
    <w:p w:rsidR="002B37AD" w:rsidRDefault="001409F8">
      <w:r>
        <w:t>• Confidence interval ~±2 cases, widening toward December (increasing uncertainty).</w:t>
      </w:r>
    </w:p>
    <w:p w:rsidR="002B37AD" w:rsidRDefault="001409F8">
      <w:r>
        <w:t>• Seasonal pattern from decomposition suggests peaks mid-year.</w:t>
      </w:r>
    </w:p>
    <w:p w:rsidR="002B37AD" w:rsidRDefault="001409F8">
      <w:r>
        <w:t>Operational Planning:</w:t>
      </w:r>
    </w:p>
    <w:p w:rsidR="002B37AD" w:rsidRDefault="001409F8">
      <w:r>
        <w:t>• Jan-Feb 2026: lower case expectations; can reduce outreach intensity.</w:t>
      </w:r>
    </w:p>
    <w:p w:rsidR="002B37AD" w:rsidRDefault="001409F8">
      <w:r>
        <w:t>• Jun-J</w:t>
      </w:r>
      <w:r>
        <w:t>ul 2026: peak season; surge staffing/resources.</w:t>
      </w:r>
    </w:p>
    <w:p w:rsidR="002B37AD" w:rsidRDefault="001409F8">
      <w:r>
        <w:t>• Uncertainty band shows best/worst case. Allocate buffer resources for worst case.</w:t>
      </w:r>
    </w:p>
    <w:p w:rsidR="002B37AD" w:rsidRDefault="001409F8">
      <w:r>
        <w:t xml:space="preserve">Validation: Re-compare actual vs. forecast monthly. Update model quarterly with new data. </w:t>
      </w:r>
    </w:p>
    <w:p w:rsidR="002B37AD" w:rsidRDefault="001409F8">
      <w:r>
        <w:t>Maintain forecast accuracy via c</w:t>
      </w:r>
      <w:r>
        <w:t>ontinuous calibration.</w:t>
      </w:r>
    </w:p>
    <w:sectPr w:rsidR="002B37AD" w:rsidSect="00140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09F8"/>
    <w:rsid w:val="0015074B"/>
    <w:rsid w:val="0029639D"/>
    <w:rsid w:val="002B37AD"/>
    <w:rsid w:val="00326F90"/>
    <w:rsid w:val="00583654"/>
    <w:rsid w:val="00725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62297"/>
  <w14:defaultImageDpi w14:val="300"/>
  <w15:docId w15:val="{07827ACB-9EE2-4A76-8C66-51F12896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0EC231-40A5-4FE4-AEF1-389406E05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3245</Words>
  <Characters>18502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KAKOOZA MICHAEL</cp:lastModifiedBy>
  <cp:revision>3</cp:revision>
  <dcterms:created xsi:type="dcterms:W3CDTF">2013-12-23T23:15:00Z</dcterms:created>
  <dcterms:modified xsi:type="dcterms:W3CDTF">2026-03-04T14:05:00Z</dcterms:modified>
  <cp:category/>
</cp:coreProperties>
</file>